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7118" w14:textId="77777777" w:rsidR="00751BC7" w:rsidRPr="008A451B" w:rsidRDefault="00666E78" w:rsidP="00F830B3">
      <w:pPr>
        <w:ind w:firstLine="426"/>
        <w:jc w:val="both"/>
        <w:rPr>
          <w:rFonts w:cstheme="minorHAnsi"/>
          <w:b/>
          <w:color w:val="FF0000"/>
          <w:sz w:val="28"/>
        </w:rPr>
      </w:pPr>
      <w:r w:rsidRPr="008A451B">
        <w:rPr>
          <w:rFonts w:cstheme="minorHAnsi"/>
          <w:b/>
          <w:noProof/>
          <w:color w:val="FF0000"/>
          <w:sz w:val="28"/>
          <w:lang w:eastAsia="it-IT"/>
        </w:rPr>
        <w:drawing>
          <wp:anchor distT="0" distB="0" distL="114300" distR="114300" simplePos="0" relativeHeight="251645440" behindDoc="1" locked="0" layoutInCell="1" allowOverlap="1" wp14:anchorId="11577155" wp14:editId="11577156">
            <wp:simplePos x="0" y="0"/>
            <wp:positionH relativeFrom="column">
              <wp:posOffset>-361827</wp:posOffset>
            </wp:positionH>
            <wp:positionV relativeFrom="paragraph">
              <wp:posOffset>-161843</wp:posOffset>
            </wp:positionV>
            <wp:extent cx="575802" cy="565355"/>
            <wp:effectExtent l="19050" t="0" r="0" b="0"/>
            <wp:wrapNone/>
            <wp:docPr id="2" name="Immagine 1" descr="logo siv vigevano per s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v vigevano per sito.png"/>
                    <pic:cNvPicPr/>
                  </pic:nvPicPr>
                  <pic:blipFill>
                    <a:blip r:embed="rId8" cstate="print"/>
                    <a:stretch>
                      <a:fillRect/>
                    </a:stretch>
                  </pic:blipFill>
                  <pic:spPr>
                    <a:xfrm>
                      <a:off x="0" y="0"/>
                      <a:ext cx="575802" cy="565355"/>
                    </a:xfrm>
                    <a:prstGeom prst="rect">
                      <a:avLst/>
                    </a:prstGeom>
                  </pic:spPr>
                </pic:pic>
              </a:graphicData>
            </a:graphic>
          </wp:anchor>
        </w:drawing>
      </w:r>
      <w:proofErr w:type="spellStart"/>
      <w:r w:rsidR="00AE3BB4" w:rsidRPr="008A451B">
        <w:rPr>
          <w:rFonts w:cstheme="minorHAnsi"/>
          <w:b/>
          <w:color w:val="FF0000"/>
          <w:sz w:val="28"/>
        </w:rPr>
        <w:t>Siv</w:t>
      </w:r>
      <w:proofErr w:type="spellEnd"/>
      <w:r w:rsidR="00AE3BB4" w:rsidRPr="008A451B">
        <w:rPr>
          <w:rFonts w:cstheme="minorHAnsi"/>
          <w:b/>
          <w:color w:val="FF0000"/>
          <w:sz w:val="28"/>
        </w:rPr>
        <w:t xml:space="preserve"> Sicurezza Vigevano</w:t>
      </w:r>
    </w:p>
    <w:p w14:paraId="11577119" w14:textId="77777777" w:rsidR="00A205EA" w:rsidRPr="008A451B" w:rsidRDefault="00A205EA" w:rsidP="00F830B3">
      <w:pPr>
        <w:ind w:firstLine="426"/>
        <w:jc w:val="both"/>
        <w:rPr>
          <w:rFonts w:cstheme="minorHAnsi"/>
          <w:b/>
          <w:color w:val="FF0000"/>
          <w:sz w:val="28"/>
        </w:rPr>
      </w:pPr>
    </w:p>
    <w:p w14:paraId="1157711A" w14:textId="77777777" w:rsidR="00A205EA" w:rsidRPr="008A451B" w:rsidRDefault="00A205EA" w:rsidP="00A205EA">
      <w:pPr>
        <w:ind w:firstLine="426"/>
        <w:jc w:val="right"/>
        <w:rPr>
          <w:rFonts w:cstheme="minorHAnsi"/>
          <w:b/>
          <w:color w:val="FF0000"/>
          <w:sz w:val="28"/>
        </w:rPr>
      </w:pPr>
    </w:p>
    <w:p w14:paraId="1157711B" w14:textId="77777777" w:rsidR="00A205EA" w:rsidRPr="008A451B" w:rsidRDefault="00A205EA" w:rsidP="00F830B3">
      <w:pPr>
        <w:ind w:firstLine="426"/>
        <w:jc w:val="both"/>
        <w:rPr>
          <w:rFonts w:cstheme="minorHAnsi"/>
          <w:b/>
          <w:color w:val="FF0000"/>
          <w:sz w:val="28"/>
        </w:rPr>
      </w:pPr>
    </w:p>
    <w:p w14:paraId="1157711C" w14:textId="77777777" w:rsidR="00A205EA" w:rsidRPr="008A451B" w:rsidRDefault="00A205EA" w:rsidP="00F830B3">
      <w:pPr>
        <w:ind w:firstLine="426"/>
        <w:jc w:val="both"/>
        <w:rPr>
          <w:rFonts w:cstheme="minorHAnsi"/>
          <w:b/>
          <w:color w:val="FF0000"/>
          <w:sz w:val="28"/>
        </w:rPr>
      </w:pPr>
    </w:p>
    <w:p w14:paraId="1157711D" w14:textId="77777777" w:rsidR="00A205EA" w:rsidRPr="008A451B" w:rsidRDefault="00A205EA" w:rsidP="00A205EA">
      <w:pPr>
        <w:pStyle w:val="Titolo1"/>
        <w:spacing w:before="155" w:after="77"/>
        <w:jc w:val="center"/>
        <w:rPr>
          <w:rFonts w:cstheme="minorHAnsi"/>
          <w:bCs w:val="0"/>
          <w:color w:val="FF0000"/>
          <w:sz w:val="52"/>
          <w:shd w:val="clear" w:color="auto" w:fill="FFFFFF"/>
        </w:rPr>
      </w:pPr>
      <w:r w:rsidRPr="008A451B">
        <w:rPr>
          <w:rFonts w:cstheme="minorHAnsi"/>
          <w:bCs w:val="0"/>
          <w:color w:val="FF0000"/>
          <w:sz w:val="52"/>
          <w:shd w:val="clear" w:color="auto" w:fill="FFFFFF"/>
        </w:rPr>
        <w:t>Classificazione del Rischio incendio</w:t>
      </w:r>
    </w:p>
    <w:p w14:paraId="1157711E" w14:textId="77777777" w:rsidR="00A205EA" w:rsidRPr="008A451B" w:rsidRDefault="00A205EA" w:rsidP="00A205EA">
      <w:pPr>
        <w:pStyle w:val="NormaleWeb"/>
        <w:shd w:val="clear" w:color="auto" w:fill="FFFFFF"/>
        <w:spacing w:before="0" w:beforeAutospacing="0" w:after="77" w:afterAutospacing="0"/>
        <w:rPr>
          <w:rFonts w:asciiTheme="minorHAnsi" w:hAnsiTheme="minorHAnsi" w:cstheme="minorHAnsi"/>
          <w:color w:val="333333"/>
          <w:sz w:val="11"/>
          <w:szCs w:val="11"/>
        </w:rPr>
      </w:pPr>
      <w:r w:rsidRPr="008A451B">
        <w:rPr>
          <w:rFonts w:asciiTheme="minorHAnsi" w:hAnsiTheme="minorHAnsi" w:cstheme="minorHAnsi"/>
          <w:color w:val="333333"/>
          <w:sz w:val="11"/>
          <w:szCs w:val="11"/>
        </w:rPr>
        <w:t> </w:t>
      </w:r>
    </w:p>
    <w:p w14:paraId="1157711F" w14:textId="1BA80BAD" w:rsidR="00A205EA" w:rsidRPr="008A451B" w:rsidRDefault="00E716F4" w:rsidP="00F830B3">
      <w:pPr>
        <w:ind w:firstLine="426"/>
        <w:jc w:val="both"/>
        <w:rPr>
          <w:rFonts w:cstheme="minorHAnsi"/>
          <w:b/>
          <w:color w:val="FF0000"/>
          <w:sz w:val="28"/>
        </w:rPr>
      </w:pPr>
      <w:r w:rsidRPr="008A451B">
        <w:rPr>
          <w:rFonts w:cstheme="minorHAnsi"/>
          <w:noProof/>
        </w:rPr>
        <w:drawing>
          <wp:inline distT="0" distB="0" distL="0" distR="0" wp14:anchorId="4C32712C" wp14:editId="22322AC7">
            <wp:extent cx="3888105" cy="1941195"/>
            <wp:effectExtent l="0" t="0" r="0" b="0"/>
            <wp:docPr id="792572313" name="Immagine 1" descr="ANTINCENDIO - Gruppo Errepi 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NCENDIO - Gruppo Errepi S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105" cy="1941195"/>
                    </a:xfrm>
                    <a:prstGeom prst="rect">
                      <a:avLst/>
                    </a:prstGeom>
                    <a:noFill/>
                    <a:ln>
                      <a:noFill/>
                    </a:ln>
                  </pic:spPr>
                </pic:pic>
              </a:graphicData>
            </a:graphic>
          </wp:inline>
        </w:drawing>
      </w:r>
    </w:p>
    <w:p w14:paraId="11577120" w14:textId="77777777" w:rsidR="00A205EA" w:rsidRPr="008A451B" w:rsidRDefault="00A205EA" w:rsidP="00F830B3">
      <w:pPr>
        <w:ind w:firstLine="426"/>
        <w:jc w:val="both"/>
        <w:rPr>
          <w:rFonts w:cstheme="minorHAnsi"/>
          <w:b/>
          <w:color w:val="FF0000"/>
          <w:sz w:val="28"/>
        </w:rPr>
      </w:pPr>
    </w:p>
    <w:p w14:paraId="11577121" w14:textId="46ABEC45" w:rsidR="00A205EA" w:rsidRPr="008A451B" w:rsidRDefault="00A205EA" w:rsidP="00A205EA">
      <w:pPr>
        <w:ind w:firstLine="426"/>
        <w:jc w:val="right"/>
        <w:rPr>
          <w:rFonts w:cstheme="minorHAnsi"/>
          <w:b/>
          <w:color w:val="FF0000"/>
          <w:sz w:val="28"/>
        </w:rPr>
      </w:pPr>
    </w:p>
    <w:p w14:paraId="11577122" w14:textId="77777777" w:rsidR="00A205EA" w:rsidRPr="008A451B" w:rsidRDefault="00A205EA" w:rsidP="00F830B3">
      <w:pPr>
        <w:ind w:firstLine="426"/>
        <w:jc w:val="both"/>
        <w:rPr>
          <w:rFonts w:cstheme="minorHAnsi"/>
          <w:b/>
          <w:color w:val="FF0000"/>
          <w:sz w:val="28"/>
        </w:rPr>
      </w:pPr>
    </w:p>
    <w:p w14:paraId="11577123" w14:textId="77777777" w:rsidR="00751BC7" w:rsidRPr="008A451B" w:rsidRDefault="00751BC7">
      <w:pPr>
        <w:rPr>
          <w:rFonts w:cstheme="minorHAnsi"/>
          <w:b/>
          <w:color w:val="FF0000"/>
          <w:sz w:val="28"/>
        </w:rPr>
      </w:pPr>
      <w:r w:rsidRPr="008A451B">
        <w:rPr>
          <w:rFonts w:cstheme="minorHAnsi"/>
          <w:b/>
          <w:color w:val="FF0000"/>
          <w:sz w:val="28"/>
        </w:rPr>
        <w:lastRenderedPageBreak/>
        <w:br w:type="page"/>
      </w:r>
    </w:p>
    <w:p w14:paraId="11577124" w14:textId="77777777" w:rsidR="00751BC7" w:rsidRPr="008A451B" w:rsidRDefault="00751BC7" w:rsidP="00751BC7">
      <w:pPr>
        <w:shd w:val="clear" w:color="auto" w:fill="FFFFFF"/>
        <w:spacing w:after="77" w:line="240" w:lineRule="auto"/>
        <w:jc w:val="both"/>
        <w:rPr>
          <w:rFonts w:eastAsia="Times New Roman" w:cstheme="minorHAnsi"/>
          <w:color w:val="333333"/>
          <w:sz w:val="22"/>
          <w:lang w:eastAsia="it-IT"/>
        </w:rPr>
      </w:pPr>
      <w:r w:rsidRPr="008A451B">
        <w:rPr>
          <w:rFonts w:eastAsia="Times New Roman" w:cstheme="minorHAnsi"/>
          <w:b/>
          <w:bCs/>
          <w:color w:val="333333"/>
          <w:sz w:val="22"/>
          <w:lang w:eastAsia="it-IT"/>
        </w:rPr>
        <w:lastRenderedPageBreak/>
        <w:t xml:space="preserve">La normativa di riferimento </w:t>
      </w:r>
      <w:r w:rsidRPr="008A451B">
        <w:rPr>
          <w:rFonts w:eastAsia="Times New Roman" w:cstheme="minorHAnsi"/>
          <w:color w:val="333333"/>
          <w:sz w:val="22"/>
          <w:lang w:eastAsia="it-IT"/>
        </w:rPr>
        <w:t xml:space="preserve">che regolamenta tutti gli aspetti della gestione del rischio incendio è il </w:t>
      </w:r>
      <w:r w:rsidRPr="008A451B">
        <w:rPr>
          <w:rFonts w:eastAsia="Times New Roman" w:cstheme="minorHAnsi"/>
          <w:b/>
          <w:bCs/>
          <w:color w:val="333333"/>
          <w:sz w:val="22"/>
          <w:lang w:eastAsia="it-IT"/>
        </w:rPr>
        <w:t>Decreto Ministeriale 10/03/1998</w:t>
      </w:r>
      <w:r w:rsidRPr="008A451B">
        <w:rPr>
          <w:rFonts w:eastAsia="Times New Roman" w:cstheme="minorHAnsi"/>
          <w:color w:val="333333"/>
          <w:sz w:val="22"/>
          <w:lang w:eastAsia="it-IT"/>
        </w:rPr>
        <w:t>, ancora ad oggi in vigore, all’interno del quale (nell’</w:t>
      </w:r>
      <w:r w:rsidRPr="008A451B">
        <w:rPr>
          <w:rFonts w:eastAsia="Times New Roman" w:cstheme="minorHAnsi"/>
          <w:b/>
          <w:bCs/>
          <w:color w:val="333333"/>
          <w:sz w:val="22"/>
          <w:lang w:eastAsia="it-IT"/>
        </w:rPr>
        <w:t>Allegato I</w:t>
      </w:r>
      <w:r w:rsidRPr="008A451B">
        <w:rPr>
          <w:rFonts w:eastAsia="Times New Roman" w:cstheme="minorHAnsi"/>
          <w:color w:val="333333"/>
          <w:sz w:val="22"/>
          <w:lang w:eastAsia="it-IT"/>
        </w:rPr>
        <w:t xml:space="preserve">) si possono individuare </w:t>
      </w:r>
      <w:r w:rsidRPr="008A451B">
        <w:rPr>
          <w:rFonts w:eastAsia="Times New Roman" w:cstheme="minorHAnsi"/>
          <w:bCs/>
          <w:color w:val="333333"/>
          <w:sz w:val="22"/>
          <w:lang w:eastAsia="it-IT"/>
        </w:rPr>
        <w:t>i criteri</w:t>
      </w:r>
      <w:r w:rsidRPr="008A451B">
        <w:rPr>
          <w:rFonts w:eastAsia="Times New Roman" w:cstheme="minorHAnsi"/>
          <w:color w:val="333333"/>
          <w:sz w:val="22"/>
          <w:lang w:eastAsia="it-IT"/>
        </w:rPr>
        <w:t xml:space="preserve"> utilizzabili dalle aziende per effettuare la </w:t>
      </w:r>
      <w:r w:rsidRPr="008A451B">
        <w:rPr>
          <w:rFonts w:eastAsia="Times New Roman" w:cstheme="minorHAnsi"/>
          <w:b/>
          <w:bCs/>
          <w:color w:val="333333"/>
          <w:sz w:val="22"/>
          <w:lang w:eastAsia="it-IT"/>
        </w:rPr>
        <w:t>valutazione del Rischio Incendio</w:t>
      </w:r>
      <w:r w:rsidRPr="008A451B">
        <w:rPr>
          <w:rFonts w:eastAsia="Times New Roman" w:cstheme="minorHAnsi"/>
          <w:color w:val="333333"/>
          <w:sz w:val="22"/>
          <w:lang w:eastAsia="it-IT"/>
        </w:rPr>
        <w:t xml:space="preserve"> e la </w:t>
      </w:r>
      <w:r w:rsidRPr="008A451B">
        <w:rPr>
          <w:rFonts w:eastAsia="Times New Roman" w:cstheme="minorHAnsi"/>
          <w:b/>
          <w:bCs/>
          <w:color w:val="333333"/>
          <w:sz w:val="22"/>
          <w:lang w:eastAsia="it-IT"/>
        </w:rPr>
        <w:t>relativa classificazione</w:t>
      </w:r>
      <w:r w:rsidRPr="008A451B">
        <w:rPr>
          <w:rFonts w:eastAsia="Times New Roman" w:cstheme="minorHAnsi"/>
          <w:color w:val="333333"/>
          <w:sz w:val="22"/>
          <w:lang w:eastAsia="it-IT"/>
        </w:rPr>
        <w:t>.</w:t>
      </w:r>
    </w:p>
    <w:p w14:paraId="11577125" w14:textId="77777777" w:rsidR="009578B5" w:rsidRPr="008A451B" w:rsidRDefault="009578B5" w:rsidP="006F37B8">
      <w:pPr>
        <w:pStyle w:val="Paragrafoelenco"/>
        <w:shd w:val="clear" w:color="auto" w:fill="FFFFFF"/>
        <w:spacing w:after="77" w:line="240" w:lineRule="auto"/>
        <w:ind w:left="-284"/>
        <w:rPr>
          <w:rFonts w:eastAsia="Times New Roman" w:cstheme="minorHAnsi"/>
          <w:color w:val="333333"/>
          <w:lang w:eastAsia="it-IT"/>
        </w:rPr>
      </w:pPr>
    </w:p>
    <w:p w14:paraId="11577126" w14:textId="77777777" w:rsidR="00751BC7" w:rsidRPr="008A451B" w:rsidRDefault="00751BC7" w:rsidP="00751BC7">
      <w:pPr>
        <w:pStyle w:val="NormaleWeb"/>
        <w:shd w:val="clear" w:color="auto" w:fill="FFFFFF"/>
        <w:spacing w:before="0" w:beforeAutospacing="0" w:after="77" w:afterAutospacing="0"/>
        <w:jc w:val="both"/>
        <w:rPr>
          <w:rFonts w:asciiTheme="minorHAnsi" w:hAnsiTheme="minorHAnsi" w:cstheme="minorHAnsi"/>
          <w:color w:val="333333"/>
          <w:sz w:val="22"/>
          <w:szCs w:val="22"/>
        </w:rPr>
      </w:pPr>
      <w:r w:rsidRPr="008A451B">
        <w:rPr>
          <w:rStyle w:val="Enfasigrassetto"/>
          <w:rFonts w:asciiTheme="minorHAnsi" w:eastAsiaTheme="majorEastAsia" w:hAnsiTheme="minorHAnsi" w:cstheme="minorHAnsi"/>
          <w:color w:val="333333"/>
          <w:sz w:val="22"/>
          <w:szCs w:val="22"/>
        </w:rPr>
        <w:t>A titolo esemplificativo</w:t>
      </w:r>
      <w:r w:rsidRPr="008A451B">
        <w:rPr>
          <w:rFonts w:asciiTheme="minorHAnsi" w:hAnsiTheme="minorHAnsi" w:cstheme="minorHAnsi"/>
          <w:color w:val="333333"/>
          <w:sz w:val="22"/>
          <w:szCs w:val="22"/>
        </w:rPr>
        <w:t>, e come riportato anche nell’allegato IX del DM 10/03/98, ed ai sensi del DPR 151/2011, si illustrano di seguito alcuni casi di</w:t>
      </w:r>
      <w:r w:rsidR="009578B5" w:rsidRPr="008A451B">
        <w:rPr>
          <w:rFonts w:asciiTheme="minorHAnsi" w:hAnsiTheme="minorHAnsi" w:cstheme="minorHAnsi"/>
          <w:color w:val="333333"/>
          <w:sz w:val="22"/>
          <w:szCs w:val="22"/>
        </w:rPr>
        <w:t xml:space="preserve"> </w:t>
      </w:r>
      <w:r w:rsidRPr="008A451B">
        <w:rPr>
          <w:rStyle w:val="Enfasigrassetto"/>
          <w:rFonts w:asciiTheme="minorHAnsi" w:eastAsiaTheme="majorEastAsia" w:hAnsiTheme="minorHAnsi" w:cstheme="minorHAnsi"/>
          <w:color w:val="333333"/>
          <w:sz w:val="22"/>
          <w:szCs w:val="22"/>
        </w:rPr>
        <w:t>classificazione incendio per ognuna delle tre categorie</w:t>
      </w:r>
      <w:r w:rsidRPr="008A451B">
        <w:rPr>
          <w:rFonts w:asciiTheme="minorHAnsi" w:hAnsiTheme="minorHAnsi" w:cstheme="minorHAnsi"/>
          <w:color w:val="333333"/>
          <w:sz w:val="22"/>
          <w:szCs w:val="22"/>
        </w:rPr>
        <w:t>.</w:t>
      </w:r>
    </w:p>
    <w:p w14:paraId="11577127" w14:textId="77777777" w:rsidR="006F37B8" w:rsidRPr="008A451B" w:rsidRDefault="006F37B8" w:rsidP="00751BC7">
      <w:pPr>
        <w:pStyle w:val="NormaleWeb"/>
        <w:shd w:val="clear" w:color="auto" w:fill="FFFFFF"/>
        <w:spacing w:before="0" w:beforeAutospacing="0" w:after="77" w:afterAutospacing="0"/>
        <w:jc w:val="both"/>
        <w:rPr>
          <w:rFonts w:asciiTheme="minorHAnsi" w:hAnsiTheme="minorHAnsi" w:cstheme="minorHAnsi"/>
          <w:color w:val="333333"/>
          <w:sz w:val="22"/>
          <w:szCs w:val="22"/>
        </w:rPr>
      </w:pPr>
    </w:p>
    <w:p w14:paraId="129CF6F9" w14:textId="77777777" w:rsidR="00FB3F39" w:rsidRPr="008A451B" w:rsidRDefault="00E716F4" w:rsidP="00FB3F39">
      <w:pPr>
        <w:shd w:val="clear" w:color="auto" w:fill="FFFFFF"/>
        <w:spacing w:after="0" w:line="240" w:lineRule="auto"/>
        <w:rPr>
          <w:rFonts w:eastAsia="Times New Roman" w:cstheme="minorHAnsi"/>
          <w:color w:val="000000"/>
          <w:szCs w:val="9"/>
          <w:lang w:eastAsia="it-IT"/>
        </w:rPr>
      </w:pPr>
      <w:r w:rsidRPr="008A451B">
        <w:rPr>
          <w:rFonts w:eastAsia="Times New Roman" w:cstheme="minorHAnsi"/>
          <w:b/>
          <w:color w:val="FF0000"/>
          <w:szCs w:val="9"/>
          <w:lang w:eastAsia="it-IT"/>
        </w:rPr>
        <w:t xml:space="preserve">Livello </w:t>
      </w:r>
      <w:r w:rsidR="00FB3F39" w:rsidRPr="008A451B">
        <w:rPr>
          <w:rFonts w:eastAsia="Times New Roman" w:cstheme="minorHAnsi"/>
          <w:b/>
          <w:color w:val="FF0000"/>
          <w:szCs w:val="9"/>
          <w:lang w:eastAsia="it-IT"/>
        </w:rPr>
        <w:t xml:space="preserve">3 </w:t>
      </w:r>
    </w:p>
    <w:p w14:paraId="11577128" w14:textId="60E6D597" w:rsidR="00C75B0A" w:rsidRPr="008A451B" w:rsidRDefault="00C75B0A" w:rsidP="00FB3F39">
      <w:pPr>
        <w:shd w:val="clear" w:color="auto" w:fill="FFFFFF"/>
        <w:spacing w:after="0" w:line="240" w:lineRule="auto"/>
        <w:rPr>
          <w:rFonts w:eastAsia="Times New Roman" w:cstheme="minorHAnsi"/>
          <w:color w:val="000000"/>
          <w:szCs w:val="9"/>
          <w:lang w:eastAsia="it-IT"/>
        </w:rPr>
      </w:pPr>
      <w:r w:rsidRPr="008A451B">
        <w:rPr>
          <w:rFonts w:eastAsia="Times New Roman" w:cstheme="minorHAnsi"/>
          <w:b/>
          <w:color w:val="FF0000"/>
          <w:szCs w:val="9"/>
          <w:lang w:eastAsia="it-IT"/>
        </w:rPr>
        <w:t>ATTIVIT</w:t>
      </w:r>
      <w:r w:rsidR="006B259F" w:rsidRPr="008A451B">
        <w:rPr>
          <w:rFonts w:eastAsia="Times New Roman" w:cstheme="minorHAnsi"/>
          <w:b/>
          <w:color w:val="FF0000"/>
          <w:szCs w:val="9"/>
          <w:lang w:eastAsia="it-IT"/>
        </w:rPr>
        <w:t>À</w:t>
      </w:r>
      <w:r w:rsidRPr="008A451B">
        <w:rPr>
          <w:rFonts w:eastAsia="Times New Roman" w:cstheme="minorHAnsi"/>
          <w:b/>
          <w:color w:val="FF0000"/>
          <w:szCs w:val="9"/>
          <w:lang w:eastAsia="it-IT"/>
        </w:rPr>
        <w:t xml:space="preserve"> A RISCHIO DI INCENDIO ELEVATO</w:t>
      </w:r>
      <w:r w:rsidR="003255AB" w:rsidRPr="008A451B">
        <w:rPr>
          <w:rFonts w:eastAsia="Times New Roman" w:cstheme="minorHAnsi"/>
          <w:b/>
          <w:color w:val="FF0000"/>
          <w:szCs w:val="9"/>
          <w:lang w:eastAsia="it-IT"/>
        </w:rPr>
        <w:br/>
      </w:r>
      <w:r w:rsidRPr="008A451B">
        <w:rPr>
          <w:rFonts w:eastAsia="Times New Roman" w:cstheme="minorHAnsi"/>
          <w:lang w:eastAsia="it-IT"/>
        </w:rPr>
        <w:t>a titolo esemplificativo e non esaustivo:</w:t>
      </w:r>
    </w:p>
    <w:p w14:paraId="11577129"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industrie e depositi di cui agli artt. 4 e 6 del DPR 175/88 e successive modifiche ed integrazioni</w:t>
      </w:r>
    </w:p>
    <w:p w14:paraId="1157712A"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fabbriche e depositi di esplosivi</w:t>
      </w:r>
    </w:p>
    <w:p w14:paraId="1157712B"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centrali termoelettriche</w:t>
      </w:r>
    </w:p>
    <w:p w14:paraId="1157712C"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impianti di estrazione di oli minerali e gas combustibili</w:t>
      </w:r>
    </w:p>
    <w:p w14:paraId="1157712D"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impianti e laboratori nucleari</w:t>
      </w:r>
    </w:p>
    <w:p w14:paraId="1157712E"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depositi al chiuso di materiali combustibili aventi superficie superiore a 20000 mq</w:t>
      </w:r>
    </w:p>
    <w:p w14:paraId="1157712F"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attività commerciali ed espositive con superficie aperta al pubblico superiore a 10000 mq</w:t>
      </w:r>
    </w:p>
    <w:p w14:paraId="11577130"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scali aeroportuali, infrastrutture ferroviarie e metropolitane</w:t>
      </w:r>
    </w:p>
    <w:p w14:paraId="11577131"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alberghi con oltre 200 posti letto</w:t>
      </w:r>
    </w:p>
    <w:p w14:paraId="11577132"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ospedali, case di cura e case di ricovero per anziani</w:t>
      </w:r>
    </w:p>
    <w:p w14:paraId="11577133"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scuole di ogni ordine e grado con oltre 1000 persone presenti</w:t>
      </w:r>
    </w:p>
    <w:p w14:paraId="11577134"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uffici con oltre 1000 dipendenti</w:t>
      </w:r>
    </w:p>
    <w:p w14:paraId="11577135"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cantieri temporanei o mobili in sotterraneo per la costruzione, manutenzione e riparazione di gallerie, caverne, pozzi ed opere simili di lunghezza superiore a 50 m</w:t>
      </w:r>
    </w:p>
    <w:p w14:paraId="11577136" w14:textId="77777777" w:rsidR="00C75B0A" w:rsidRPr="008A451B" w:rsidRDefault="00C75B0A"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cantieri temporanei o mobili dove si impiegano esplosivi</w:t>
      </w:r>
    </w:p>
    <w:p w14:paraId="11577137" w14:textId="77777777" w:rsidR="00C75B0A" w:rsidRPr="008A451B" w:rsidRDefault="00C75B0A" w:rsidP="00C75B0A">
      <w:pPr>
        <w:shd w:val="clear" w:color="auto" w:fill="FFFFFF"/>
        <w:spacing w:before="100" w:beforeAutospacing="1" w:after="100" w:afterAutospacing="1" w:line="240" w:lineRule="auto"/>
        <w:ind w:left="360"/>
        <w:rPr>
          <w:rFonts w:cstheme="minorHAnsi"/>
          <w:color w:val="333333"/>
          <w:sz w:val="22"/>
        </w:rPr>
      </w:pPr>
    </w:p>
    <w:p w14:paraId="2E8B30A5" w14:textId="77777777" w:rsidR="00FB3F39" w:rsidRPr="008A451B" w:rsidRDefault="00FB3F39" w:rsidP="00FB3F39">
      <w:pPr>
        <w:shd w:val="clear" w:color="auto" w:fill="FFFFFF"/>
        <w:spacing w:after="0" w:line="240" w:lineRule="auto"/>
        <w:rPr>
          <w:rFonts w:eastAsia="Times New Roman" w:cstheme="minorHAnsi"/>
          <w:lang w:eastAsia="it-IT"/>
        </w:rPr>
      </w:pPr>
      <w:r w:rsidRPr="008A451B">
        <w:rPr>
          <w:rFonts w:eastAsia="Times New Roman" w:cstheme="minorHAnsi"/>
          <w:b/>
          <w:color w:val="FF0000"/>
          <w:szCs w:val="9"/>
          <w:lang w:eastAsia="it-IT"/>
        </w:rPr>
        <w:lastRenderedPageBreak/>
        <w:t>Livello 2</w:t>
      </w:r>
    </w:p>
    <w:p w14:paraId="11577138" w14:textId="457EDA58" w:rsidR="006B259F" w:rsidRPr="008A451B" w:rsidRDefault="006B259F" w:rsidP="00FB3F39">
      <w:pPr>
        <w:shd w:val="clear" w:color="auto" w:fill="FFFFFF"/>
        <w:spacing w:after="0" w:line="240" w:lineRule="auto"/>
        <w:rPr>
          <w:rFonts w:eastAsia="Times New Roman" w:cstheme="minorHAnsi"/>
          <w:lang w:eastAsia="it-IT"/>
        </w:rPr>
      </w:pPr>
      <w:r w:rsidRPr="008A451B">
        <w:rPr>
          <w:rFonts w:eastAsia="Times New Roman" w:cstheme="minorHAnsi"/>
          <w:b/>
          <w:color w:val="FF0000"/>
          <w:szCs w:val="9"/>
          <w:lang w:eastAsia="it-IT"/>
        </w:rPr>
        <w:t>ATTIVITÀ A RISCHIO DI INCENDIO MEDIO</w:t>
      </w:r>
      <w:r w:rsidR="003255AB" w:rsidRPr="008A451B">
        <w:rPr>
          <w:rFonts w:eastAsia="Times New Roman" w:cstheme="minorHAnsi"/>
          <w:color w:val="FF0000"/>
          <w:szCs w:val="9"/>
          <w:lang w:eastAsia="it-IT"/>
        </w:rPr>
        <w:br/>
      </w:r>
      <w:r w:rsidRPr="008A451B">
        <w:rPr>
          <w:rFonts w:eastAsia="Times New Roman" w:cstheme="minorHAnsi"/>
          <w:szCs w:val="9"/>
          <w:lang w:eastAsia="it-IT"/>
        </w:rPr>
        <w:t>a titolo esemplificativo e</w:t>
      </w:r>
      <w:r w:rsidRPr="008A451B">
        <w:rPr>
          <w:rFonts w:eastAsia="Times New Roman" w:cstheme="minorHAnsi"/>
          <w:lang w:eastAsia="it-IT"/>
        </w:rPr>
        <w:t xml:space="preserve"> non esaustivo:</w:t>
      </w:r>
    </w:p>
    <w:p w14:paraId="11577139" w14:textId="77777777" w:rsidR="006B259F" w:rsidRPr="008A451B" w:rsidRDefault="006B259F"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luoghi di lavoro compresi nell'all. al DM 16.2.82 e nelle tabelle A e B annesse al DPR 689/1959 con esclusione delle attività considerate a rischio elevato</w:t>
      </w:r>
    </w:p>
    <w:p w14:paraId="1157713A" w14:textId="77777777" w:rsidR="003255AB" w:rsidRPr="008A451B" w:rsidRDefault="006B259F"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r w:rsidRPr="008A451B">
        <w:rPr>
          <w:rFonts w:eastAsia="Times New Roman" w:cstheme="minorHAnsi"/>
          <w:color w:val="000000"/>
          <w:szCs w:val="9"/>
          <w:lang w:eastAsia="it-IT"/>
        </w:rPr>
        <w:t>cantieri temporanei e mobili dove si detengono ed impiegano sostanze infiammabili e si fa uso di fiamme libere, esclusi quelli interamente all'aperto</w:t>
      </w:r>
    </w:p>
    <w:p w14:paraId="1157713B" w14:textId="77777777" w:rsidR="003255AB" w:rsidRPr="008A451B" w:rsidRDefault="003255AB" w:rsidP="003255AB">
      <w:pPr>
        <w:pStyle w:val="Paragrafoelenco"/>
        <w:shd w:val="clear" w:color="auto" w:fill="FFFFFF"/>
        <w:spacing w:after="0" w:line="240" w:lineRule="auto"/>
        <w:ind w:left="284"/>
        <w:rPr>
          <w:rFonts w:eastAsia="Times New Roman" w:cstheme="minorHAnsi"/>
          <w:color w:val="000000"/>
          <w:szCs w:val="9"/>
          <w:lang w:eastAsia="it-IT"/>
        </w:rPr>
      </w:pPr>
    </w:p>
    <w:p w14:paraId="50FAFB8A" w14:textId="77777777" w:rsidR="00412EC6" w:rsidRPr="008A451B" w:rsidRDefault="00FB3F39" w:rsidP="00412EC6">
      <w:pPr>
        <w:shd w:val="clear" w:color="auto" w:fill="FFFFFF"/>
        <w:spacing w:after="0" w:line="240" w:lineRule="auto"/>
        <w:rPr>
          <w:rFonts w:eastAsia="Times New Roman" w:cstheme="minorHAnsi"/>
          <w:color w:val="000000"/>
          <w:szCs w:val="9"/>
          <w:lang w:eastAsia="it-IT"/>
        </w:rPr>
      </w:pPr>
      <w:r w:rsidRPr="008A451B">
        <w:rPr>
          <w:rFonts w:eastAsia="Times New Roman" w:cstheme="minorHAnsi"/>
          <w:b/>
          <w:color w:val="FF0000"/>
          <w:szCs w:val="9"/>
          <w:lang w:eastAsia="it-IT"/>
        </w:rPr>
        <w:t>Livello 1</w:t>
      </w:r>
    </w:p>
    <w:p w14:paraId="1157713C" w14:textId="216F96DA" w:rsidR="00565C05" w:rsidRPr="008A451B" w:rsidRDefault="006B259F" w:rsidP="00412EC6">
      <w:pPr>
        <w:shd w:val="clear" w:color="auto" w:fill="FFFFFF"/>
        <w:spacing w:after="0" w:line="240" w:lineRule="auto"/>
        <w:rPr>
          <w:rFonts w:eastAsia="Times New Roman" w:cstheme="minorHAnsi"/>
          <w:color w:val="000000"/>
          <w:szCs w:val="9"/>
          <w:lang w:eastAsia="it-IT"/>
        </w:rPr>
      </w:pPr>
      <w:r w:rsidRPr="008A451B">
        <w:rPr>
          <w:rFonts w:eastAsia="Times New Roman" w:cstheme="minorHAnsi"/>
          <w:b/>
          <w:color w:val="FF0000"/>
          <w:szCs w:val="9"/>
          <w:lang w:eastAsia="it-IT"/>
        </w:rPr>
        <w:t>ATTIVITÀ A RISCHIO DI INCENDIO BASSO</w:t>
      </w:r>
      <w:r w:rsidR="003255AB" w:rsidRPr="008A451B">
        <w:rPr>
          <w:rFonts w:eastAsia="Times New Roman" w:cstheme="minorHAnsi"/>
          <w:b/>
          <w:color w:val="FF0000"/>
          <w:szCs w:val="9"/>
          <w:lang w:eastAsia="it-IT"/>
        </w:rPr>
        <w:br/>
      </w:r>
      <w:r w:rsidRPr="008A451B">
        <w:rPr>
          <w:rFonts w:eastAsia="Times New Roman" w:cstheme="minorHAnsi"/>
          <w:lang w:eastAsia="it-IT"/>
        </w:rPr>
        <w:t>a titolo esemplificativo</w:t>
      </w:r>
      <w:r w:rsidRPr="008A451B">
        <w:rPr>
          <w:rFonts w:eastAsia="Times New Roman" w:cstheme="minorHAnsi"/>
          <w:szCs w:val="9"/>
          <w:lang w:eastAsia="it-IT"/>
        </w:rPr>
        <w:t xml:space="preserve"> </w:t>
      </w:r>
      <w:r w:rsidRPr="008A451B">
        <w:rPr>
          <w:rFonts w:eastAsia="Times New Roman" w:cstheme="minorHAnsi"/>
          <w:lang w:eastAsia="it-IT"/>
        </w:rPr>
        <w:t>e non esaustivo:</w:t>
      </w:r>
    </w:p>
    <w:p w14:paraId="1157713D" w14:textId="77777777" w:rsidR="006B259F" w:rsidRPr="008A451B" w:rsidRDefault="00751BC7" w:rsidP="00751BC7">
      <w:pPr>
        <w:pStyle w:val="NormaleWeb"/>
        <w:shd w:val="clear" w:color="auto" w:fill="FFFFFF"/>
        <w:spacing w:before="0" w:beforeAutospacing="0" w:after="77" w:afterAutospacing="0"/>
        <w:jc w:val="both"/>
        <w:rPr>
          <w:rFonts w:asciiTheme="minorHAnsi" w:hAnsiTheme="minorHAnsi" w:cstheme="minorHAnsi"/>
          <w:color w:val="333333"/>
          <w:sz w:val="22"/>
          <w:szCs w:val="22"/>
        </w:rPr>
      </w:pPr>
      <w:r w:rsidRPr="008A451B">
        <w:rPr>
          <w:rFonts w:asciiTheme="minorHAnsi" w:hAnsiTheme="minorHAnsi" w:cstheme="minorHAnsi"/>
          <w:color w:val="333333"/>
          <w:sz w:val="22"/>
          <w:szCs w:val="22"/>
        </w:rPr>
        <w:t xml:space="preserve">Genericamente si considerano appartenenti a questa categoria gli ambienti di lavoro dove sono presenti limitate quantità di materiali infiammabili (carta o arredi) e/o sostanze poco infiammabili e dove i processi lavorativi difficilmente potranno generare il rischio di sviluppo e propagazione di un incendio. condizioni di esercizio offrono limitate possibilità di sviluppo di un incendio. </w:t>
      </w:r>
    </w:p>
    <w:p w14:paraId="1157713E" w14:textId="77777777" w:rsidR="00565C05" w:rsidRPr="008A451B" w:rsidRDefault="00751BC7" w:rsidP="00751BC7">
      <w:pPr>
        <w:pStyle w:val="NormaleWeb"/>
        <w:shd w:val="clear" w:color="auto" w:fill="FFFFFF"/>
        <w:spacing w:before="0" w:beforeAutospacing="0" w:after="77" w:afterAutospacing="0"/>
        <w:jc w:val="both"/>
        <w:rPr>
          <w:rFonts w:asciiTheme="minorHAnsi" w:hAnsiTheme="minorHAnsi" w:cstheme="minorHAnsi"/>
          <w:color w:val="333333"/>
          <w:sz w:val="22"/>
          <w:szCs w:val="22"/>
        </w:rPr>
      </w:pPr>
      <w:r w:rsidRPr="008A451B">
        <w:rPr>
          <w:rFonts w:asciiTheme="minorHAnsi" w:hAnsiTheme="minorHAnsi" w:cstheme="minorHAnsi"/>
          <w:color w:val="333333"/>
          <w:sz w:val="22"/>
          <w:szCs w:val="22"/>
        </w:rPr>
        <w:t>Ne fanno parte quindi:</w:t>
      </w:r>
      <w:r w:rsidR="009578B5" w:rsidRPr="008A451B">
        <w:rPr>
          <w:rFonts w:asciiTheme="minorHAnsi" w:hAnsiTheme="minorHAnsi" w:cstheme="minorHAnsi"/>
          <w:color w:val="333333"/>
          <w:sz w:val="22"/>
          <w:szCs w:val="22"/>
        </w:rPr>
        <w:t xml:space="preserve"> </w:t>
      </w:r>
    </w:p>
    <w:p w14:paraId="1157713F" w14:textId="77777777" w:rsidR="00565C05" w:rsidRPr="008A451B" w:rsidRDefault="003E2F98"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hyperlink r:id="rId10" w:history="1">
        <w:r w:rsidR="00751BC7" w:rsidRPr="008A451B">
          <w:rPr>
            <w:rFonts w:eastAsia="Times New Roman" w:cstheme="minorHAnsi"/>
            <w:color w:val="000000"/>
            <w:szCs w:val="9"/>
            <w:lang w:eastAsia="it-IT"/>
          </w:rPr>
          <w:t>gli uffici</w:t>
        </w:r>
      </w:hyperlink>
      <w:r w:rsidR="00751BC7" w:rsidRPr="008A451B">
        <w:rPr>
          <w:rFonts w:eastAsia="Times New Roman" w:cstheme="minorHAnsi"/>
          <w:color w:val="000000"/>
          <w:szCs w:val="9"/>
          <w:lang w:eastAsia="it-IT"/>
        </w:rPr>
        <w:t>, le aziende di servizi in genere, gli esercizi commerciali scarsamente affollati,</w:t>
      </w:r>
      <w:r w:rsidR="009578B5" w:rsidRPr="008A451B">
        <w:rPr>
          <w:rFonts w:eastAsia="Times New Roman" w:cstheme="minorHAnsi"/>
          <w:color w:val="000000"/>
          <w:szCs w:val="9"/>
          <w:lang w:eastAsia="it-IT"/>
        </w:rPr>
        <w:t xml:space="preserve"> </w:t>
      </w:r>
    </w:p>
    <w:p w14:paraId="11577140" w14:textId="77777777" w:rsidR="00751BC7" w:rsidRPr="008A451B" w:rsidRDefault="003E2F98" w:rsidP="00565C05">
      <w:pPr>
        <w:pStyle w:val="Paragrafoelenco"/>
        <w:numPr>
          <w:ilvl w:val="0"/>
          <w:numId w:val="26"/>
        </w:numPr>
        <w:shd w:val="clear" w:color="auto" w:fill="FFFFFF"/>
        <w:tabs>
          <w:tab w:val="num" w:pos="-142"/>
        </w:tabs>
        <w:spacing w:after="0" w:line="240" w:lineRule="auto"/>
        <w:ind w:left="284" w:hanging="284"/>
        <w:rPr>
          <w:rFonts w:eastAsia="Times New Roman" w:cstheme="minorHAnsi"/>
          <w:color w:val="000000"/>
          <w:szCs w:val="9"/>
          <w:lang w:eastAsia="it-IT"/>
        </w:rPr>
      </w:pPr>
      <w:hyperlink r:id="rId11" w:history="1">
        <w:r w:rsidR="00751BC7" w:rsidRPr="008A451B">
          <w:rPr>
            <w:rFonts w:eastAsia="Times New Roman" w:cstheme="minorHAnsi"/>
            <w:color w:val="000000"/>
            <w:szCs w:val="9"/>
            <w:lang w:eastAsia="it-IT"/>
          </w:rPr>
          <w:t>gli studi professionali</w:t>
        </w:r>
      </w:hyperlink>
      <w:r w:rsidR="00751BC7" w:rsidRPr="008A451B">
        <w:rPr>
          <w:rFonts w:eastAsia="Times New Roman" w:cstheme="minorHAnsi"/>
          <w:color w:val="000000"/>
          <w:szCs w:val="9"/>
          <w:lang w:eastAsia="it-IT"/>
        </w:rPr>
        <w:t>, ecc.</w:t>
      </w:r>
    </w:p>
    <w:p w14:paraId="11577141" w14:textId="77777777" w:rsidR="004511D4" w:rsidRPr="008A451B" w:rsidRDefault="004511D4" w:rsidP="004511D4">
      <w:pPr>
        <w:pStyle w:val="Paragrafoelenco"/>
        <w:shd w:val="clear" w:color="auto" w:fill="FFFFFF"/>
        <w:spacing w:after="0" w:line="240" w:lineRule="auto"/>
        <w:ind w:left="284"/>
        <w:rPr>
          <w:rFonts w:eastAsia="Times New Roman" w:cstheme="minorHAnsi"/>
          <w:color w:val="000000"/>
          <w:szCs w:val="9"/>
          <w:lang w:eastAsia="it-IT"/>
        </w:rPr>
      </w:pP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3"/>
        <w:gridCol w:w="1134"/>
        <w:gridCol w:w="1559"/>
      </w:tblGrid>
      <w:tr w:rsidR="00237AC8" w:rsidRPr="008A451B" w14:paraId="11577145" w14:textId="77777777" w:rsidTr="00272288">
        <w:trPr>
          <w:trHeight w:val="201"/>
          <w:jc w:val="center"/>
        </w:trPr>
        <w:tc>
          <w:tcPr>
            <w:tcW w:w="1223" w:type="dxa"/>
            <w:shd w:val="clear" w:color="auto" w:fill="FF0000"/>
            <w:tcMar>
              <w:top w:w="62" w:type="dxa"/>
              <w:left w:w="0" w:type="dxa"/>
              <w:bottom w:w="62" w:type="dxa"/>
              <w:right w:w="77" w:type="dxa"/>
            </w:tcMar>
            <w:hideMark/>
          </w:tcPr>
          <w:p w14:paraId="11577142" w14:textId="77777777" w:rsidR="00237AC8" w:rsidRPr="008A451B" w:rsidRDefault="00A72D04" w:rsidP="00272288">
            <w:pPr>
              <w:spacing w:after="0" w:line="240" w:lineRule="auto"/>
              <w:jc w:val="center"/>
              <w:rPr>
                <w:rFonts w:eastAsia="Times New Roman" w:cstheme="minorHAnsi"/>
                <w:b/>
                <w:bCs/>
                <w:color w:val="FFFFFF" w:themeColor="background1"/>
                <w:sz w:val="22"/>
                <w:szCs w:val="11"/>
                <w:lang w:eastAsia="it-IT"/>
              </w:rPr>
            </w:pPr>
            <w:r w:rsidRPr="008A451B">
              <w:rPr>
                <w:rFonts w:eastAsia="Times New Roman" w:cstheme="minorHAnsi"/>
                <w:b/>
                <w:bCs/>
                <w:color w:val="FFFFFF" w:themeColor="background1"/>
                <w:sz w:val="22"/>
                <w:szCs w:val="11"/>
                <w:lang w:eastAsia="it-IT"/>
              </w:rPr>
              <w:t>Rischio</w:t>
            </w:r>
          </w:p>
        </w:tc>
        <w:tc>
          <w:tcPr>
            <w:tcW w:w="1134" w:type="dxa"/>
            <w:shd w:val="clear" w:color="auto" w:fill="FF0000"/>
            <w:tcMar>
              <w:top w:w="62" w:type="dxa"/>
              <w:left w:w="77" w:type="dxa"/>
              <w:bottom w:w="62" w:type="dxa"/>
              <w:right w:w="77" w:type="dxa"/>
            </w:tcMar>
            <w:hideMark/>
          </w:tcPr>
          <w:p w14:paraId="11577143" w14:textId="77777777" w:rsidR="00237AC8" w:rsidRPr="008A451B" w:rsidRDefault="00237AC8" w:rsidP="00272288">
            <w:pPr>
              <w:spacing w:after="0" w:line="240" w:lineRule="auto"/>
              <w:jc w:val="center"/>
              <w:rPr>
                <w:rFonts w:eastAsia="Times New Roman" w:cstheme="minorHAnsi"/>
                <w:b/>
                <w:bCs/>
                <w:color w:val="FFFFFF" w:themeColor="background1"/>
                <w:sz w:val="22"/>
                <w:szCs w:val="11"/>
                <w:lang w:eastAsia="it-IT"/>
              </w:rPr>
            </w:pPr>
            <w:r w:rsidRPr="008A451B">
              <w:rPr>
                <w:rFonts w:eastAsia="Times New Roman" w:cstheme="minorHAnsi"/>
                <w:b/>
                <w:bCs/>
                <w:color w:val="FFFFFF" w:themeColor="background1"/>
                <w:sz w:val="22"/>
                <w:szCs w:val="11"/>
                <w:lang w:eastAsia="it-IT"/>
              </w:rPr>
              <w:t>DURATA</w:t>
            </w:r>
          </w:p>
        </w:tc>
        <w:tc>
          <w:tcPr>
            <w:tcW w:w="1559" w:type="dxa"/>
            <w:shd w:val="clear" w:color="auto" w:fill="FF0000"/>
          </w:tcPr>
          <w:p w14:paraId="11577144" w14:textId="77777777" w:rsidR="00237AC8" w:rsidRPr="008A451B" w:rsidRDefault="00393DAA" w:rsidP="00272288">
            <w:pPr>
              <w:spacing w:after="0" w:line="240" w:lineRule="auto"/>
              <w:jc w:val="center"/>
              <w:rPr>
                <w:rFonts w:eastAsia="Times New Roman" w:cstheme="minorHAnsi"/>
                <w:b/>
                <w:bCs/>
                <w:color w:val="FFFFFF" w:themeColor="background1"/>
                <w:sz w:val="22"/>
                <w:szCs w:val="11"/>
                <w:lang w:eastAsia="it-IT"/>
              </w:rPr>
            </w:pPr>
            <w:r w:rsidRPr="008A451B">
              <w:rPr>
                <w:rFonts w:eastAsia="Times New Roman" w:cstheme="minorHAnsi"/>
                <w:b/>
                <w:bCs/>
                <w:color w:val="FFFFFF" w:themeColor="background1"/>
                <w:sz w:val="22"/>
                <w:szCs w:val="11"/>
                <w:lang w:eastAsia="it-IT"/>
              </w:rPr>
              <w:t>Aggiornamento</w:t>
            </w:r>
          </w:p>
        </w:tc>
      </w:tr>
      <w:tr w:rsidR="00237AC8" w:rsidRPr="008A451B" w14:paraId="11577149" w14:textId="77777777" w:rsidTr="00272288">
        <w:trPr>
          <w:trHeight w:val="201"/>
          <w:jc w:val="center"/>
        </w:trPr>
        <w:tc>
          <w:tcPr>
            <w:tcW w:w="1223" w:type="dxa"/>
            <w:shd w:val="clear" w:color="auto" w:fill="FFFFFF"/>
            <w:tcMar>
              <w:top w:w="62" w:type="dxa"/>
              <w:left w:w="0" w:type="dxa"/>
              <w:bottom w:w="62" w:type="dxa"/>
              <w:right w:w="77" w:type="dxa"/>
            </w:tcMar>
            <w:vAlign w:val="center"/>
            <w:hideMark/>
          </w:tcPr>
          <w:p w14:paraId="11577146"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elevato</w:t>
            </w:r>
          </w:p>
        </w:tc>
        <w:tc>
          <w:tcPr>
            <w:tcW w:w="1134" w:type="dxa"/>
            <w:shd w:val="clear" w:color="auto" w:fill="FFFFFF"/>
            <w:tcMar>
              <w:top w:w="62" w:type="dxa"/>
              <w:left w:w="77" w:type="dxa"/>
              <w:bottom w:w="62" w:type="dxa"/>
              <w:right w:w="77" w:type="dxa"/>
            </w:tcMar>
            <w:vAlign w:val="center"/>
            <w:hideMark/>
          </w:tcPr>
          <w:p w14:paraId="11577147"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 xml:space="preserve">16 </w:t>
            </w:r>
            <w:r w:rsidRPr="008A451B">
              <w:rPr>
                <w:rFonts w:eastAsia="Times New Roman" w:cstheme="minorHAnsi"/>
                <w:bCs/>
                <w:color w:val="222222"/>
                <w:sz w:val="22"/>
                <w:szCs w:val="11"/>
                <w:lang w:eastAsia="it-IT"/>
              </w:rPr>
              <w:t>ore</w:t>
            </w:r>
          </w:p>
        </w:tc>
        <w:tc>
          <w:tcPr>
            <w:tcW w:w="1559" w:type="dxa"/>
            <w:shd w:val="clear" w:color="auto" w:fill="FFFFFF"/>
          </w:tcPr>
          <w:p w14:paraId="11577148" w14:textId="77777777" w:rsidR="00237AC8" w:rsidRPr="008A451B" w:rsidRDefault="00393DAA"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8 ore</w:t>
            </w:r>
          </w:p>
        </w:tc>
      </w:tr>
      <w:tr w:rsidR="00237AC8" w:rsidRPr="008A451B" w14:paraId="1157714D" w14:textId="77777777" w:rsidTr="00272288">
        <w:trPr>
          <w:trHeight w:val="201"/>
          <w:jc w:val="center"/>
        </w:trPr>
        <w:tc>
          <w:tcPr>
            <w:tcW w:w="1223" w:type="dxa"/>
            <w:shd w:val="clear" w:color="auto" w:fill="FFFFFF"/>
            <w:tcMar>
              <w:top w:w="62" w:type="dxa"/>
              <w:left w:w="0" w:type="dxa"/>
              <w:bottom w:w="62" w:type="dxa"/>
              <w:right w:w="77" w:type="dxa"/>
            </w:tcMar>
            <w:vAlign w:val="center"/>
            <w:hideMark/>
          </w:tcPr>
          <w:p w14:paraId="1157714A"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medio</w:t>
            </w:r>
          </w:p>
        </w:tc>
        <w:tc>
          <w:tcPr>
            <w:tcW w:w="1134" w:type="dxa"/>
            <w:shd w:val="clear" w:color="auto" w:fill="FFFFFF"/>
            <w:tcMar>
              <w:top w:w="62" w:type="dxa"/>
              <w:left w:w="77" w:type="dxa"/>
              <w:bottom w:w="62" w:type="dxa"/>
              <w:right w:w="77" w:type="dxa"/>
            </w:tcMar>
            <w:vAlign w:val="center"/>
            <w:hideMark/>
          </w:tcPr>
          <w:p w14:paraId="1157714B"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 xml:space="preserve">8 </w:t>
            </w:r>
            <w:r w:rsidRPr="008A451B">
              <w:rPr>
                <w:rFonts w:eastAsia="Times New Roman" w:cstheme="minorHAnsi"/>
                <w:bCs/>
                <w:color w:val="222222"/>
                <w:sz w:val="22"/>
                <w:szCs w:val="11"/>
                <w:lang w:eastAsia="it-IT"/>
              </w:rPr>
              <w:t>ore</w:t>
            </w:r>
          </w:p>
        </w:tc>
        <w:tc>
          <w:tcPr>
            <w:tcW w:w="1559" w:type="dxa"/>
            <w:shd w:val="clear" w:color="auto" w:fill="FFFFFF"/>
          </w:tcPr>
          <w:p w14:paraId="1157714C" w14:textId="77777777" w:rsidR="00237AC8" w:rsidRPr="008A451B" w:rsidRDefault="00393DAA"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5 ore</w:t>
            </w:r>
          </w:p>
        </w:tc>
      </w:tr>
      <w:tr w:rsidR="00237AC8" w:rsidRPr="008A451B" w14:paraId="11577151" w14:textId="77777777" w:rsidTr="00272288">
        <w:trPr>
          <w:trHeight w:val="201"/>
          <w:jc w:val="center"/>
        </w:trPr>
        <w:tc>
          <w:tcPr>
            <w:tcW w:w="1223" w:type="dxa"/>
            <w:shd w:val="clear" w:color="auto" w:fill="FFFFFF"/>
            <w:tcMar>
              <w:top w:w="62" w:type="dxa"/>
              <w:left w:w="0" w:type="dxa"/>
              <w:bottom w:w="62" w:type="dxa"/>
              <w:right w:w="77" w:type="dxa"/>
            </w:tcMar>
            <w:vAlign w:val="center"/>
            <w:hideMark/>
          </w:tcPr>
          <w:p w14:paraId="1157714E"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bCs/>
                <w:color w:val="222222"/>
                <w:sz w:val="22"/>
                <w:szCs w:val="11"/>
                <w:lang w:eastAsia="it-IT"/>
              </w:rPr>
              <w:t>basso</w:t>
            </w:r>
          </w:p>
        </w:tc>
        <w:tc>
          <w:tcPr>
            <w:tcW w:w="1134" w:type="dxa"/>
            <w:shd w:val="clear" w:color="auto" w:fill="FFFFFF"/>
            <w:tcMar>
              <w:top w:w="62" w:type="dxa"/>
              <w:left w:w="77" w:type="dxa"/>
              <w:bottom w:w="62" w:type="dxa"/>
              <w:right w:w="77" w:type="dxa"/>
            </w:tcMar>
            <w:vAlign w:val="center"/>
            <w:hideMark/>
          </w:tcPr>
          <w:p w14:paraId="1157714F" w14:textId="77777777" w:rsidR="00237AC8" w:rsidRPr="008A451B" w:rsidRDefault="00A72D04"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 xml:space="preserve">4 </w:t>
            </w:r>
            <w:r w:rsidRPr="008A451B">
              <w:rPr>
                <w:rFonts w:eastAsia="Times New Roman" w:cstheme="minorHAnsi"/>
                <w:bCs/>
                <w:color w:val="222222"/>
                <w:sz w:val="22"/>
                <w:szCs w:val="11"/>
                <w:lang w:eastAsia="it-IT"/>
              </w:rPr>
              <w:t>ore</w:t>
            </w:r>
          </w:p>
        </w:tc>
        <w:tc>
          <w:tcPr>
            <w:tcW w:w="1559" w:type="dxa"/>
            <w:shd w:val="clear" w:color="auto" w:fill="FFFFFF"/>
          </w:tcPr>
          <w:p w14:paraId="11577150" w14:textId="77777777" w:rsidR="00237AC8" w:rsidRPr="008A451B" w:rsidRDefault="00393DAA" w:rsidP="00272288">
            <w:pPr>
              <w:spacing w:after="0" w:line="240" w:lineRule="auto"/>
              <w:jc w:val="center"/>
              <w:rPr>
                <w:rFonts w:eastAsia="Times New Roman" w:cstheme="minorHAnsi"/>
                <w:color w:val="222222"/>
                <w:sz w:val="22"/>
                <w:szCs w:val="11"/>
                <w:lang w:eastAsia="it-IT"/>
              </w:rPr>
            </w:pPr>
            <w:r w:rsidRPr="008A451B">
              <w:rPr>
                <w:rFonts w:eastAsia="Times New Roman" w:cstheme="minorHAnsi"/>
                <w:color w:val="222222"/>
                <w:sz w:val="22"/>
                <w:szCs w:val="11"/>
                <w:lang w:eastAsia="it-IT"/>
              </w:rPr>
              <w:t>2 ore</w:t>
            </w:r>
          </w:p>
        </w:tc>
      </w:tr>
    </w:tbl>
    <w:p w14:paraId="11577152" w14:textId="77777777" w:rsidR="00237AC8" w:rsidRPr="008A451B" w:rsidRDefault="00237AC8" w:rsidP="00751BC7">
      <w:pPr>
        <w:jc w:val="both"/>
        <w:rPr>
          <w:rFonts w:cstheme="minorHAnsi"/>
          <w:b/>
          <w:sz w:val="22"/>
        </w:rPr>
      </w:pPr>
    </w:p>
    <w:p w14:paraId="11577153" w14:textId="77777777" w:rsidR="00027891" w:rsidRPr="008A451B" w:rsidRDefault="00272288" w:rsidP="00751BC7">
      <w:pPr>
        <w:jc w:val="both"/>
        <w:rPr>
          <w:rFonts w:cstheme="minorHAnsi"/>
        </w:rPr>
      </w:pPr>
      <w:r w:rsidRPr="008A451B">
        <w:rPr>
          <w:rFonts w:cstheme="minorHAnsi"/>
        </w:rPr>
        <w:t xml:space="preserve">Il corso di aggiornamento Antincendio viene regolamentato dal D.M. 10 marzo 1998 nei contenuti del percorso formativo e dall’art. 37 del </w:t>
      </w:r>
      <w:proofErr w:type="spellStart"/>
      <w:r w:rsidRPr="008A451B">
        <w:rPr>
          <w:rFonts w:cstheme="minorHAnsi"/>
        </w:rPr>
        <w:t>D.Lgs.</w:t>
      </w:r>
      <w:proofErr w:type="spellEnd"/>
      <w:r w:rsidRPr="008A451B">
        <w:rPr>
          <w:rFonts w:cstheme="minorHAnsi"/>
        </w:rPr>
        <w:t xml:space="preserve"> 81/2008 nell’obbligatorietà dell’aggiornamento che tuttavia non definisce ogni quanto è necessario effettuare l’aggiornamento antincendio. Pertan</w:t>
      </w:r>
      <w:r w:rsidRPr="008A451B">
        <w:rPr>
          <w:rFonts w:cstheme="minorHAnsi"/>
        </w:rPr>
        <w:lastRenderedPageBreak/>
        <w:t>to, in attesa di disposizioni specifiche si ritiene idoneo un tempo di aggiornamento di 3 anni, al pari dei corsi di primo soccorso.</w:t>
      </w:r>
    </w:p>
    <w:p w14:paraId="29A1FDC4" w14:textId="77777777" w:rsidR="00623083" w:rsidRPr="008A451B" w:rsidRDefault="00623083" w:rsidP="00942FE3">
      <w:pPr>
        <w:pStyle w:val="Titolo3"/>
        <w:shd w:val="clear" w:color="auto" w:fill="FFFFFF"/>
        <w:spacing w:before="150" w:after="150"/>
        <w:rPr>
          <w:rFonts w:asciiTheme="minorHAnsi" w:eastAsiaTheme="minorHAnsi" w:hAnsiTheme="minorHAnsi" w:cstheme="minorHAnsi"/>
          <w:b w:val="0"/>
          <w:bCs w:val="0"/>
          <w:color w:val="FF0000"/>
          <w:sz w:val="40"/>
          <w:szCs w:val="40"/>
        </w:rPr>
      </w:pPr>
      <w:r w:rsidRPr="008A451B">
        <w:rPr>
          <w:rFonts w:asciiTheme="minorHAnsi" w:eastAsiaTheme="minorHAnsi" w:hAnsiTheme="minorHAnsi" w:cstheme="minorHAnsi"/>
          <w:b w:val="0"/>
          <w:bCs w:val="0"/>
          <w:color w:val="FF0000"/>
          <w:sz w:val="40"/>
          <w:szCs w:val="40"/>
        </w:rPr>
        <w:t>Classificazione degli estintori: tipologie e info utili</w:t>
      </w:r>
    </w:p>
    <w:p w14:paraId="3483B77B" w14:textId="6272556B" w:rsidR="008A451B" w:rsidRPr="008A451B" w:rsidRDefault="008A451B" w:rsidP="008A451B">
      <w:pPr>
        <w:jc w:val="both"/>
        <w:rPr>
          <w:rStyle w:val="Enfasigrassetto"/>
          <w:rFonts w:eastAsiaTheme="majorEastAsia" w:cstheme="minorHAnsi"/>
          <w:color w:val="3F444A"/>
        </w:rPr>
      </w:pPr>
      <w:r w:rsidRPr="008A451B">
        <w:rPr>
          <w:rStyle w:val="Enfasigrassetto"/>
          <w:rFonts w:eastAsiaTheme="majorEastAsia" w:cstheme="minorHAnsi"/>
          <w:color w:val="3F444A"/>
        </w:rPr>
        <w:t>Conoscere la classificazione degli estintori è funzionale alla corretta scelta di questi strumenti per la protezione antincendio in azienda.</w:t>
      </w:r>
    </w:p>
    <w:p w14:paraId="1E012E5A" w14:textId="77777777" w:rsidR="008A451B" w:rsidRPr="008A451B" w:rsidRDefault="008A451B" w:rsidP="008A451B">
      <w:pPr>
        <w:jc w:val="both"/>
        <w:rPr>
          <w:rStyle w:val="Enfasigrassetto"/>
          <w:rFonts w:eastAsiaTheme="majorEastAsia" w:cstheme="minorHAnsi"/>
          <w:b w:val="0"/>
          <w:bCs w:val="0"/>
          <w:color w:val="3F444A"/>
        </w:rPr>
      </w:pPr>
      <w:r w:rsidRPr="008A451B">
        <w:rPr>
          <w:rStyle w:val="Enfasigrassetto"/>
          <w:rFonts w:eastAsiaTheme="majorEastAsia" w:cstheme="minorHAnsi"/>
          <w:b w:val="0"/>
          <w:bCs w:val="0"/>
          <w:color w:val="3F444A"/>
        </w:rPr>
        <w:t>Gli incendi non sono tutti uguali: ciascuno presenta caratteristiche diverse, a seconda del grado di partecipazione di un materiale combustibile alle fiamme. Ecco perché avere l’estintore adatto alla classe di resistenza al fuoco costituisce uno dei mezzi più efficaci di primo intervento.</w:t>
      </w:r>
    </w:p>
    <w:p w14:paraId="086DA60C" w14:textId="61F26574" w:rsidR="0095191B" w:rsidRDefault="008A451B" w:rsidP="008A451B">
      <w:pPr>
        <w:jc w:val="both"/>
        <w:rPr>
          <w:rStyle w:val="Enfasigrassetto"/>
          <w:rFonts w:eastAsiaTheme="majorEastAsia" w:cstheme="minorHAnsi"/>
          <w:b w:val="0"/>
          <w:bCs w:val="0"/>
          <w:color w:val="3F444A"/>
        </w:rPr>
      </w:pPr>
      <w:r w:rsidRPr="008A451B">
        <w:rPr>
          <w:rStyle w:val="Enfasigrassetto"/>
          <w:rFonts w:eastAsiaTheme="majorEastAsia" w:cstheme="minorHAnsi"/>
          <w:b w:val="0"/>
          <w:bCs w:val="0"/>
          <w:color w:val="3F444A"/>
        </w:rPr>
        <w:t>Quindi, non solo per le aziende soggette al controllo di prevenzione incendi (DPR 151 del 2011) ma per tutte le attività che vogliono garantire le migliori condizioni di sicurezza, è necessario porre particolare attenzione alla scelta dell’attrezzatura antincendio, in base al contesto lavorativo. Vediamo nel dettaglio i vari tipi di estintori e il loro utilizzo.</w:t>
      </w:r>
    </w:p>
    <w:p w14:paraId="2B2AED5B" w14:textId="77777777" w:rsidR="0095191B" w:rsidRDefault="0095191B">
      <w:pPr>
        <w:rPr>
          <w:rStyle w:val="Enfasigrassetto"/>
          <w:rFonts w:eastAsiaTheme="majorEastAsia" w:cstheme="minorHAnsi"/>
          <w:b w:val="0"/>
          <w:bCs w:val="0"/>
          <w:color w:val="3F444A"/>
        </w:rPr>
      </w:pPr>
      <w:r>
        <w:rPr>
          <w:rStyle w:val="Enfasigrassetto"/>
          <w:rFonts w:eastAsiaTheme="majorEastAsia" w:cstheme="minorHAnsi"/>
          <w:b w:val="0"/>
          <w:bCs w:val="0"/>
          <w:color w:val="3F444A"/>
        </w:rPr>
        <w:br w:type="page"/>
      </w:r>
    </w:p>
    <w:p w14:paraId="175B1EE3" w14:textId="77777777" w:rsidR="00395CC9" w:rsidRDefault="00395CC9" w:rsidP="00395CC9">
      <w:pPr>
        <w:pStyle w:val="Titolo2"/>
        <w:shd w:val="clear" w:color="auto" w:fill="FFFFFF"/>
        <w:spacing w:before="450" w:after="300" w:line="540" w:lineRule="atLeast"/>
        <w:rPr>
          <w:rFonts w:ascii="Open Sans" w:hAnsi="Open Sans" w:cs="Open Sans"/>
          <w:color w:val="253856"/>
          <w:spacing w:val="-8"/>
          <w:sz w:val="38"/>
          <w:szCs w:val="38"/>
        </w:rPr>
      </w:pPr>
      <w:r>
        <w:rPr>
          <w:rFonts w:ascii="Open Sans" w:hAnsi="Open Sans" w:cs="Open Sans"/>
          <w:color w:val="253856"/>
          <w:spacing w:val="-8"/>
          <w:sz w:val="38"/>
          <w:szCs w:val="38"/>
        </w:rPr>
        <w:lastRenderedPageBreak/>
        <w:t>Classificazione estintori: tipologie</w:t>
      </w:r>
    </w:p>
    <w:p w14:paraId="1A3DCBF9" w14:textId="77777777" w:rsidR="00D776FD" w:rsidRDefault="00D776FD" w:rsidP="00D776FD">
      <w:pPr>
        <w:pStyle w:val="NormaleWeb"/>
        <w:shd w:val="clear" w:color="auto" w:fill="FFFFFF"/>
        <w:spacing w:before="300" w:beforeAutospacing="0" w:after="300" w:afterAutospacing="0"/>
        <w:rPr>
          <w:rFonts w:ascii="Open Sans" w:hAnsi="Open Sans" w:cs="Open Sans"/>
          <w:color w:val="253856"/>
        </w:rPr>
      </w:pPr>
      <w:r>
        <w:rPr>
          <w:rFonts w:ascii="Open Sans" w:hAnsi="Open Sans" w:cs="Open Sans"/>
          <w:color w:val="253856"/>
        </w:rPr>
        <w:t>Per fare la scelta migliore tra le diverse </w:t>
      </w:r>
      <w:r>
        <w:rPr>
          <w:rStyle w:val="Enfasigrassetto"/>
          <w:rFonts w:ascii="Open Sans" w:hAnsi="Open Sans" w:cs="Open Sans"/>
          <w:color w:val="253856"/>
        </w:rPr>
        <w:t>tipologie di estintori</w:t>
      </w:r>
      <w:r>
        <w:rPr>
          <w:rFonts w:ascii="Open Sans" w:hAnsi="Open Sans" w:cs="Open Sans"/>
          <w:color w:val="253856"/>
        </w:rPr>
        <w:t>, bisogna prendere in considerazione due importanti fattori tecnici:</w:t>
      </w:r>
    </w:p>
    <w:p w14:paraId="7B2CD750" w14:textId="77777777" w:rsidR="003B4959" w:rsidRDefault="00D776FD" w:rsidP="003B4959">
      <w:pPr>
        <w:pStyle w:val="NormaleWeb"/>
        <w:numPr>
          <w:ilvl w:val="0"/>
          <w:numId w:val="33"/>
        </w:numPr>
        <w:shd w:val="clear" w:color="auto" w:fill="FFFFFF"/>
        <w:spacing w:before="300" w:beforeAutospacing="0" w:after="300" w:afterAutospacing="0"/>
        <w:rPr>
          <w:rStyle w:val="Enfasigrassetto"/>
          <w:rFonts w:ascii="Open Sans" w:hAnsi="Open Sans" w:cs="Open Sans"/>
          <w:color w:val="253856"/>
        </w:rPr>
      </w:pPr>
      <w:r>
        <w:rPr>
          <w:rStyle w:val="Enfasigrassetto"/>
          <w:rFonts w:ascii="Open Sans" w:hAnsi="Open Sans" w:cs="Open Sans"/>
          <w:color w:val="253856"/>
        </w:rPr>
        <w:t>classi di fuoco</w:t>
      </w:r>
    </w:p>
    <w:p w14:paraId="4FC6CDB9" w14:textId="5004F0B6" w:rsidR="00D776FD" w:rsidRDefault="00D776FD" w:rsidP="003B4959">
      <w:pPr>
        <w:pStyle w:val="NormaleWeb"/>
        <w:numPr>
          <w:ilvl w:val="0"/>
          <w:numId w:val="33"/>
        </w:numPr>
        <w:shd w:val="clear" w:color="auto" w:fill="FFFFFF"/>
        <w:spacing w:before="300" w:beforeAutospacing="0" w:after="300" w:afterAutospacing="0"/>
        <w:rPr>
          <w:rFonts w:ascii="Open Sans" w:hAnsi="Open Sans" w:cs="Open Sans"/>
          <w:color w:val="253856"/>
        </w:rPr>
      </w:pPr>
      <w:r>
        <w:rPr>
          <w:rStyle w:val="Enfasigrassetto"/>
          <w:rFonts w:ascii="Open Sans" w:hAnsi="Open Sans" w:cs="Open Sans"/>
          <w:color w:val="253856"/>
        </w:rPr>
        <w:t>agente estinguente</w:t>
      </w:r>
      <w:r w:rsidR="003B4959">
        <w:rPr>
          <w:rFonts w:ascii="Open Sans" w:hAnsi="Open Sans" w:cs="Open Sans"/>
          <w:color w:val="253856"/>
        </w:rPr>
        <w:t xml:space="preserve"> </w:t>
      </w:r>
      <w:r>
        <w:rPr>
          <w:rFonts w:ascii="Open Sans" w:hAnsi="Open Sans" w:cs="Open Sans"/>
          <w:color w:val="253856"/>
        </w:rPr>
        <w:t>più adatto alla natura dell’incendio.</w:t>
      </w:r>
    </w:p>
    <w:p w14:paraId="18CF09E0" w14:textId="43458F35" w:rsidR="00D776FD" w:rsidRDefault="00D776FD" w:rsidP="00D776FD">
      <w:pPr>
        <w:pStyle w:val="NormaleWeb"/>
        <w:shd w:val="clear" w:color="auto" w:fill="FFFFFF"/>
        <w:spacing w:before="300" w:beforeAutospacing="0" w:after="300" w:afterAutospacing="0"/>
        <w:rPr>
          <w:rFonts w:ascii="Open Sans" w:hAnsi="Open Sans" w:cs="Open Sans"/>
          <w:color w:val="253856"/>
        </w:rPr>
      </w:pPr>
      <w:r>
        <w:rPr>
          <w:rFonts w:ascii="Open Sans" w:hAnsi="Open Sans" w:cs="Open Sans"/>
          <w:color w:val="253856"/>
        </w:rPr>
        <w:t>Come individuato nella normativa di riferimento UNI EN 2:2005, le classi di fuoco indicano la natura caratteristica delle fiamme di un incendio. Ecco quali sono:</w:t>
      </w:r>
    </w:p>
    <w:p w14:paraId="59BA9DC8" w14:textId="7513A23E"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A:</w:t>
      </w:r>
      <w:r>
        <w:rPr>
          <w:rFonts w:ascii="Open Sans" w:hAnsi="Open Sans" w:cs="Open Sans"/>
          <w:color w:val="253856"/>
        </w:rPr>
        <w:t xml:space="preserve"> interessa tutti i fuochi scaturiti da</w:t>
      </w:r>
      <w:r w:rsidR="00566F44">
        <w:rPr>
          <w:rFonts w:ascii="Open Sans" w:hAnsi="Open Sans" w:cs="Open Sans"/>
          <w:color w:val="253856"/>
        </w:rPr>
        <w:t xml:space="preserve"> </w:t>
      </w:r>
      <w:r w:rsidRPr="0095191B">
        <w:rPr>
          <w:rStyle w:val="Enfasigrassetto"/>
          <w:rFonts w:ascii="Open Sans" w:hAnsi="Open Sans" w:cs="Open Sans"/>
          <w:color w:val="FF0000"/>
        </w:rPr>
        <w:t>materiali solidi</w:t>
      </w:r>
      <w:r w:rsidR="00566F44">
        <w:rPr>
          <w:rFonts w:ascii="Open Sans" w:hAnsi="Open Sans" w:cs="Open Sans"/>
          <w:color w:val="253856"/>
        </w:rPr>
        <w:t xml:space="preserve"> </w:t>
      </w:r>
      <w:r>
        <w:rPr>
          <w:rFonts w:ascii="Open Sans" w:hAnsi="Open Sans" w:cs="Open Sans"/>
          <w:color w:val="253856"/>
        </w:rPr>
        <w:t>come carta, legno, pelli, gomma, tessuti, materie plastiche, etc.;</w:t>
      </w:r>
    </w:p>
    <w:p w14:paraId="6743DF77" w14:textId="57E1038D"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B:</w:t>
      </w:r>
      <w:r>
        <w:rPr>
          <w:rFonts w:ascii="Open Sans" w:hAnsi="Open Sans" w:cs="Open Sans"/>
          <w:color w:val="253856"/>
        </w:rPr>
        <w:t xml:space="preserve"> fuochi generati da</w:t>
      </w:r>
      <w:r w:rsidR="00566F44">
        <w:rPr>
          <w:rFonts w:ascii="Open Sans" w:hAnsi="Open Sans" w:cs="Open Sans"/>
          <w:color w:val="253856"/>
        </w:rPr>
        <w:t xml:space="preserve"> </w:t>
      </w:r>
      <w:r w:rsidRPr="0095191B">
        <w:rPr>
          <w:rStyle w:val="Enfasigrassetto"/>
          <w:rFonts w:ascii="Open Sans" w:hAnsi="Open Sans" w:cs="Open Sans"/>
          <w:color w:val="FF0000"/>
        </w:rPr>
        <w:t>liquidi infiammabili</w:t>
      </w:r>
      <w:r w:rsidR="00566F44">
        <w:rPr>
          <w:rFonts w:ascii="Open Sans" w:hAnsi="Open Sans" w:cs="Open Sans"/>
          <w:color w:val="253856"/>
        </w:rPr>
        <w:t xml:space="preserve"> </w:t>
      </w:r>
      <w:r>
        <w:rPr>
          <w:rFonts w:ascii="Open Sans" w:hAnsi="Open Sans" w:cs="Open Sans"/>
          <w:color w:val="253856"/>
        </w:rPr>
        <w:t>come le benzine, gli idrocarburi, alcol, solventi, oli minerali;</w:t>
      </w:r>
    </w:p>
    <w:p w14:paraId="31E0C1F5" w14:textId="6E522757"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C:</w:t>
      </w:r>
      <w:r>
        <w:rPr>
          <w:rFonts w:ascii="Open Sans" w:hAnsi="Open Sans" w:cs="Open Sans"/>
          <w:color w:val="253856"/>
        </w:rPr>
        <w:t xml:space="preserve"> tutti i tipi di incendio scaturiti da</w:t>
      </w:r>
      <w:r w:rsidR="00566F44">
        <w:rPr>
          <w:rFonts w:ascii="Open Sans" w:hAnsi="Open Sans" w:cs="Open Sans"/>
          <w:color w:val="253856"/>
        </w:rPr>
        <w:t xml:space="preserve"> </w:t>
      </w:r>
      <w:r w:rsidRPr="0095191B">
        <w:rPr>
          <w:rStyle w:val="Enfasigrassetto"/>
          <w:rFonts w:ascii="Open Sans" w:hAnsi="Open Sans" w:cs="Open Sans"/>
          <w:color w:val="FF0000"/>
        </w:rPr>
        <w:t>gas</w:t>
      </w:r>
      <w:r w:rsidR="00566F44">
        <w:rPr>
          <w:rFonts w:ascii="Open Sans" w:hAnsi="Open Sans" w:cs="Open Sans"/>
          <w:color w:val="253856"/>
        </w:rPr>
        <w:t xml:space="preserve"> </w:t>
      </w:r>
      <w:r>
        <w:rPr>
          <w:rFonts w:ascii="Open Sans" w:hAnsi="Open Sans" w:cs="Open Sans"/>
          <w:color w:val="253856"/>
        </w:rPr>
        <w:t>come metano, GPL, idrogeno, acetilene, butano e propano;</w:t>
      </w:r>
    </w:p>
    <w:p w14:paraId="167D92CC" w14:textId="60BC1CC1"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D:</w:t>
      </w:r>
      <w:r>
        <w:rPr>
          <w:rFonts w:ascii="Open Sans" w:hAnsi="Open Sans" w:cs="Open Sans"/>
          <w:color w:val="253856"/>
        </w:rPr>
        <w:t xml:space="preserve"> fuochi che interessano la</w:t>
      </w:r>
      <w:r w:rsidR="00566F44">
        <w:rPr>
          <w:rFonts w:ascii="Open Sans" w:hAnsi="Open Sans" w:cs="Open Sans"/>
          <w:color w:val="253856"/>
        </w:rPr>
        <w:t xml:space="preserve"> </w:t>
      </w:r>
      <w:r w:rsidRPr="0095191B">
        <w:rPr>
          <w:rStyle w:val="Enfasigrassetto"/>
          <w:rFonts w:ascii="Open Sans" w:hAnsi="Open Sans" w:cs="Open Sans"/>
          <w:color w:val="FF0000"/>
        </w:rPr>
        <w:t>combustione di metalli</w:t>
      </w:r>
      <w:r w:rsidR="00566F44">
        <w:rPr>
          <w:rFonts w:ascii="Open Sans" w:hAnsi="Open Sans" w:cs="Open Sans"/>
          <w:color w:val="253856"/>
        </w:rPr>
        <w:t xml:space="preserve"> </w:t>
      </w:r>
      <w:r>
        <w:rPr>
          <w:rFonts w:ascii="Open Sans" w:hAnsi="Open Sans" w:cs="Open Sans"/>
          <w:color w:val="253856"/>
        </w:rPr>
        <w:t>come zinco, alluminio, magnesio, sodio, potassio, titanio, etc.;</w:t>
      </w:r>
    </w:p>
    <w:p w14:paraId="6A7557D3" w14:textId="2BA80489"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E:</w:t>
      </w:r>
      <w:r>
        <w:rPr>
          <w:rFonts w:ascii="Open Sans" w:hAnsi="Open Sans" w:cs="Open Sans"/>
          <w:color w:val="253856"/>
        </w:rPr>
        <w:t xml:space="preserve"> fuoco originato da</w:t>
      </w:r>
      <w:r w:rsidR="00566F44">
        <w:rPr>
          <w:rFonts w:ascii="Open Sans" w:hAnsi="Open Sans" w:cs="Open Sans"/>
          <w:color w:val="253856"/>
        </w:rPr>
        <w:t xml:space="preserve"> </w:t>
      </w:r>
      <w:r w:rsidRPr="0095191B">
        <w:rPr>
          <w:rStyle w:val="Enfasigrassetto"/>
          <w:rFonts w:ascii="Open Sans" w:hAnsi="Open Sans" w:cs="Open Sans"/>
          <w:color w:val="FF0000"/>
        </w:rPr>
        <w:t>apparecchi elettrici in tensione</w:t>
      </w:r>
      <w:r w:rsidR="00566F44">
        <w:rPr>
          <w:rFonts w:ascii="Open Sans" w:hAnsi="Open Sans" w:cs="Open Sans"/>
          <w:color w:val="253856"/>
        </w:rPr>
        <w:t xml:space="preserve"> </w:t>
      </w:r>
      <w:r>
        <w:rPr>
          <w:rFonts w:ascii="Open Sans" w:hAnsi="Open Sans" w:cs="Open Sans"/>
          <w:color w:val="253856"/>
        </w:rPr>
        <w:t>(classe non prevista dalla classificazione europea ma riconosciuta a livello internazionale); sull’estintore è inserita tramite la scritta “UTILIZZABILE SU APPARECCHI ELETTRICI IN TENSIONE”;</w:t>
      </w:r>
    </w:p>
    <w:p w14:paraId="32B730F0" w14:textId="67C2CF3D" w:rsidR="00D776FD" w:rsidRDefault="00D776FD" w:rsidP="00566F44">
      <w:pPr>
        <w:pStyle w:val="NormaleWeb"/>
        <w:numPr>
          <w:ilvl w:val="1"/>
          <w:numId w:val="33"/>
        </w:numPr>
        <w:shd w:val="clear" w:color="auto" w:fill="FFFFFF"/>
        <w:spacing w:before="300" w:beforeAutospacing="0" w:after="300" w:afterAutospacing="0"/>
        <w:ind w:left="284" w:hanging="284"/>
        <w:rPr>
          <w:rFonts w:ascii="Open Sans" w:hAnsi="Open Sans" w:cs="Open Sans"/>
          <w:color w:val="253856"/>
        </w:rPr>
      </w:pPr>
      <w:r w:rsidRPr="00566F44">
        <w:rPr>
          <w:rFonts w:ascii="Open Sans" w:hAnsi="Open Sans" w:cs="Open Sans"/>
          <w:color w:val="FF0000"/>
        </w:rPr>
        <w:t>F:</w:t>
      </w:r>
      <w:r>
        <w:rPr>
          <w:rFonts w:ascii="Open Sans" w:hAnsi="Open Sans" w:cs="Open Sans"/>
          <w:color w:val="253856"/>
        </w:rPr>
        <w:t xml:space="preserve"> incendi dovuti a</w:t>
      </w:r>
      <w:r w:rsidR="00566F44">
        <w:rPr>
          <w:rFonts w:ascii="Open Sans" w:hAnsi="Open Sans" w:cs="Open Sans"/>
          <w:color w:val="253856"/>
        </w:rPr>
        <w:t xml:space="preserve"> </w:t>
      </w:r>
      <w:r w:rsidRPr="0095191B">
        <w:rPr>
          <w:rStyle w:val="Enfasigrassetto"/>
          <w:rFonts w:ascii="Open Sans" w:hAnsi="Open Sans" w:cs="Open Sans"/>
          <w:color w:val="FF0000"/>
        </w:rPr>
        <w:t>oli e grass</w:t>
      </w:r>
      <w:r w:rsidR="00566F44" w:rsidRPr="0095191B">
        <w:rPr>
          <w:rStyle w:val="Enfasigrassetto"/>
          <w:rFonts w:ascii="Open Sans" w:hAnsi="Open Sans" w:cs="Open Sans"/>
          <w:color w:val="FF0000"/>
        </w:rPr>
        <w:t>i</w:t>
      </w:r>
      <w:r w:rsidR="00566F44">
        <w:rPr>
          <w:rStyle w:val="Enfasigrassetto"/>
          <w:rFonts w:ascii="Open Sans" w:hAnsi="Open Sans" w:cs="Open Sans"/>
          <w:color w:val="253856"/>
        </w:rPr>
        <w:t xml:space="preserve"> </w:t>
      </w:r>
      <w:r>
        <w:rPr>
          <w:rFonts w:ascii="Open Sans" w:hAnsi="Open Sans" w:cs="Open Sans"/>
          <w:color w:val="253856"/>
        </w:rPr>
        <w:t>di origine animale o vegetale utilizzati in apparecchi di cottura, come quelli in ambito domestico.</w:t>
      </w:r>
    </w:p>
    <w:p w14:paraId="38DD479F" w14:textId="616C6C72" w:rsidR="00D776FD" w:rsidRDefault="00D776FD" w:rsidP="00D776FD">
      <w:pPr>
        <w:pStyle w:val="NormaleWeb"/>
        <w:shd w:val="clear" w:color="auto" w:fill="FFFFFF"/>
        <w:spacing w:before="300" w:beforeAutospacing="0" w:after="300" w:afterAutospacing="0"/>
        <w:rPr>
          <w:rFonts w:ascii="Open Sans" w:hAnsi="Open Sans" w:cs="Open Sans"/>
          <w:color w:val="253856"/>
        </w:rPr>
      </w:pPr>
      <w:r>
        <w:rPr>
          <w:rFonts w:ascii="Open Sans" w:hAnsi="Open Sans" w:cs="Open Sans"/>
          <w:color w:val="253856"/>
        </w:rPr>
        <w:lastRenderedPageBreak/>
        <w:t>Grazie alle informazioni recepite dalle classi di fuoco si può capire quale sia la sostanza estinguente adatta. Questi gli estintori secondo i diversi agenti estinguenti:</w:t>
      </w:r>
    </w:p>
    <w:tbl>
      <w:tblPr>
        <w:tblStyle w:val="Grigliatabella"/>
        <w:tblW w:w="0" w:type="auto"/>
        <w:tblLook w:val="04A0" w:firstRow="1" w:lastRow="0" w:firstColumn="1" w:lastColumn="0" w:noHBand="0" w:noVBand="1"/>
      </w:tblPr>
      <w:tblGrid>
        <w:gridCol w:w="1526"/>
        <w:gridCol w:w="4737"/>
      </w:tblGrid>
      <w:tr w:rsidR="00554E3C" w:rsidRPr="008A451B" w14:paraId="53180A2D" w14:textId="77777777" w:rsidTr="006C541B">
        <w:trPr>
          <w:trHeight w:val="1605"/>
        </w:trPr>
        <w:tc>
          <w:tcPr>
            <w:tcW w:w="1526" w:type="dxa"/>
            <w:shd w:val="clear" w:color="auto" w:fill="FF0000"/>
            <w:vAlign w:val="center"/>
          </w:tcPr>
          <w:p w14:paraId="4B657DF9" w14:textId="77777777" w:rsidR="00554E3C" w:rsidRPr="008A451B" w:rsidRDefault="00554E3C" w:rsidP="006C541B">
            <w:pPr>
              <w:jc w:val="center"/>
              <w:rPr>
                <w:rFonts w:cstheme="minorHAnsi"/>
                <w:b/>
                <w:bCs/>
                <w:color w:val="FFFFFF" w:themeColor="background1"/>
                <w:szCs w:val="20"/>
              </w:rPr>
            </w:pPr>
            <w:r w:rsidRPr="008A451B">
              <w:rPr>
                <w:rFonts w:cstheme="minorHAnsi"/>
                <w:b/>
                <w:bCs/>
                <w:color w:val="FFFFFF" w:themeColor="background1"/>
                <w:szCs w:val="20"/>
              </w:rPr>
              <w:t>Estintori a polvere</w:t>
            </w:r>
          </w:p>
        </w:tc>
        <w:tc>
          <w:tcPr>
            <w:tcW w:w="4737" w:type="dxa"/>
            <w:vAlign w:val="center"/>
          </w:tcPr>
          <w:p w14:paraId="0F9E9DCA" w14:textId="77777777" w:rsidR="00554E3C" w:rsidRPr="008A451B" w:rsidRDefault="00554E3C" w:rsidP="006C541B">
            <w:pPr>
              <w:jc w:val="both"/>
              <w:rPr>
                <w:rFonts w:cstheme="minorHAnsi"/>
                <w:sz w:val="18"/>
                <w:szCs w:val="18"/>
              </w:rPr>
            </w:pPr>
            <w:r w:rsidRPr="008A451B">
              <w:rPr>
                <w:rFonts w:cstheme="minorHAnsi"/>
                <w:sz w:val="18"/>
                <w:szCs w:val="18"/>
              </w:rPr>
              <w:t>Principalmente sono estintori a polvere polivalente ABC per l'elevata efficacia nello spegnimento, le polveri sono composte da composti salini per classi di incendio B e C oppure da solfato e fosfato di ammonio per incendi di classe A, B, C. L'azione di spegnimento sull'incendio avviene principalmente per soffocamento, raffreddamento e inibizione chimica.</w:t>
            </w:r>
          </w:p>
        </w:tc>
      </w:tr>
      <w:tr w:rsidR="00554E3C" w:rsidRPr="008A451B" w14:paraId="7D83EB67" w14:textId="77777777" w:rsidTr="006C541B">
        <w:trPr>
          <w:trHeight w:val="2252"/>
        </w:trPr>
        <w:tc>
          <w:tcPr>
            <w:tcW w:w="1526" w:type="dxa"/>
            <w:shd w:val="clear" w:color="auto" w:fill="FF0000"/>
            <w:vAlign w:val="center"/>
          </w:tcPr>
          <w:p w14:paraId="5C4B383D" w14:textId="77777777" w:rsidR="00554E3C" w:rsidRPr="008A451B" w:rsidRDefault="00554E3C" w:rsidP="006C541B">
            <w:pPr>
              <w:jc w:val="center"/>
              <w:rPr>
                <w:rFonts w:cstheme="minorHAnsi"/>
                <w:b/>
                <w:bCs/>
                <w:color w:val="FFFFFF" w:themeColor="background1"/>
                <w:szCs w:val="20"/>
              </w:rPr>
            </w:pPr>
            <w:r w:rsidRPr="008A451B">
              <w:rPr>
                <w:rFonts w:cstheme="minorHAnsi"/>
                <w:b/>
                <w:bCs/>
                <w:color w:val="FFFFFF" w:themeColor="background1"/>
                <w:szCs w:val="20"/>
              </w:rPr>
              <w:t xml:space="preserve">Estintori a Co2 </w:t>
            </w:r>
            <w:r w:rsidRPr="008A451B">
              <w:rPr>
                <w:rFonts w:cstheme="minorHAnsi"/>
                <w:b/>
                <w:bCs/>
                <w:color w:val="FFFFFF" w:themeColor="background1"/>
                <w:sz w:val="14"/>
                <w:szCs w:val="14"/>
              </w:rPr>
              <w:t>(anidride carbonica)</w:t>
            </w:r>
          </w:p>
        </w:tc>
        <w:tc>
          <w:tcPr>
            <w:tcW w:w="4737" w:type="dxa"/>
            <w:vAlign w:val="center"/>
          </w:tcPr>
          <w:p w14:paraId="4CB95879" w14:textId="77777777" w:rsidR="00554E3C" w:rsidRPr="008A451B" w:rsidRDefault="00554E3C" w:rsidP="006C541B">
            <w:pPr>
              <w:jc w:val="both"/>
              <w:rPr>
                <w:rFonts w:cstheme="minorHAnsi"/>
                <w:sz w:val="18"/>
                <w:szCs w:val="18"/>
              </w:rPr>
            </w:pPr>
            <w:r w:rsidRPr="008A451B">
              <w:rPr>
                <w:rFonts w:cstheme="minorHAnsi"/>
                <w:color w:val="000000"/>
                <w:sz w:val="18"/>
                <w:szCs w:val="18"/>
              </w:rPr>
              <w:t>L'anidride carbonica contenuta all'interno dell'estintore è allo stato liquido e compressa, l'estintore è dotato di valvola di sicurezza corredata di pescante che permette in caso di utilizzo la depressurizzazione facendo uscire l'agente estinguente che passa dallo stato liquido allo stato solido permettendo la fuoriuscita del getto di anidride carbonica attraverso un diffusore a cono. L'azione di spegnimento sull'incendio avviene principalmente per soffocamento, raffreddamento con il vantaggio di non lasciare residui.</w:t>
            </w:r>
          </w:p>
        </w:tc>
      </w:tr>
      <w:tr w:rsidR="00554E3C" w:rsidRPr="008A451B" w14:paraId="6FFF079D" w14:textId="77777777" w:rsidTr="006C541B">
        <w:trPr>
          <w:trHeight w:val="2823"/>
        </w:trPr>
        <w:tc>
          <w:tcPr>
            <w:tcW w:w="1526" w:type="dxa"/>
            <w:shd w:val="clear" w:color="auto" w:fill="FF0000"/>
            <w:vAlign w:val="center"/>
          </w:tcPr>
          <w:p w14:paraId="48EAB944" w14:textId="77777777" w:rsidR="00554E3C" w:rsidRPr="008A451B" w:rsidRDefault="00554E3C" w:rsidP="006C541B">
            <w:pPr>
              <w:jc w:val="center"/>
              <w:rPr>
                <w:rFonts w:cstheme="minorHAnsi"/>
                <w:sz w:val="40"/>
                <w:szCs w:val="40"/>
              </w:rPr>
            </w:pPr>
            <w:r w:rsidRPr="008A451B">
              <w:rPr>
                <w:rFonts w:cstheme="minorHAnsi"/>
                <w:b/>
                <w:bCs/>
                <w:color w:val="FFFFFF" w:themeColor="background1"/>
                <w:szCs w:val="20"/>
              </w:rPr>
              <w:t>Estintori a Schiuma</w:t>
            </w:r>
          </w:p>
        </w:tc>
        <w:tc>
          <w:tcPr>
            <w:tcW w:w="4737" w:type="dxa"/>
            <w:vAlign w:val="center"/>
          </w:tcPr>
          <w:p w14:paraId="6FD24070" w14:textId="77777777" w:rsidR="00554E3C" w:rsidRPr="008A451B" w:rsidRDefault="00554E3C" w:rsidP="006C541B">
            <w:pPr>
              <w:jc w:val="both"/>
              <w:rPr>
                <w:rFonts w:cstheme="minorHAnsi"/>
                <w:sz w:val="18"/>
                <w:szCs w:val="18"/>
              </w:rPr>
            </w:pPr>
            <w:r w:rsidRPr="008A451B">
              <w:rPr>
                <w:rFonts w:cstheme="minorHAnsi"/>
                <w:sz w:val="18"/>
                <w:szCs w:val="18"/>
              </w:rPr>
              <w:t>L'estintore a schiuma è costituito da un serbatoio in lamiera d’acciaio, trattato contro la corrosione, o in acciaio INOX, la cui carica è composta da liquido schiumogeno diluito in acqua in percentuale che va dall' 1 al 10% o da premiscelati pronti all'uso. Il dispositivo di erogazione dell’estinguente è composto da un tubo al cui termine è collegata una doccetta in materiale anticorrosione, alla cui base vi sono dei fori di ingresso aria. All’azionamento dell’estintore ed alla contemporanea uscita della soluzione di liquido schiumogeno, dai forellini posti alla base dalla lancia entrerà aria per effetto venturi che miscelandosi al liquido in passaggio produrrà la schiuma che sarà diretta sul principio d’incendio.</w:t>
            </w:r>
          </w:p>
        </w:tc>
      </w:tr>
    </w:tbl>
    <w:p w14:paraId="2168595C" w14:textId="17893C0A" w:rsidR="002D5809" w:rsidRDefault="002D5809" w:rsidP="00D776FD">
      <w:pPr>
        <w:pStyle w:val="NormaleWeb"/>
        <w:shd w:val="clear" w:color="auto" w:fill="FFFFFF"/>
        <w:spacing w:before="300" w:beforeAutospacing="0" w:after="300" w:afterAutospacing="0"/>
        <w:rPr>
          <w:rFonts w:ascii="Open Sans" w:hAnsi="Open Sans" w:cs="Open Sans"/>
          <w:color w:val="253856"/>
        </w:rPr>
      </w:pPr>
      <w:r w:rsidRPr="008A451B">
        <w:rPr>
          <w:rFonts w:asciiTheme="minorHAnsi" w:hAnsiTheme="minorHAnsi" w:cstheme="minorHAnsi"/>
          <w:noProof/>
        </w:rPr>
        <w:drawing>
          <wp:anchor distT="0" distB="0" distL="114300" distR="114300" simplePos="0" relativeHeight="251664896" behindDoc="0" locked="0" layoutInCell="1" allowOverlap="1" wp14:anchorId="0FCDCFC1" wp14:editId="21F342B8">
            <wp:simplePos x="0" y="0"/>
            <wp:positionH relativeFrom="column">
              <wp:posOffset>3498215</wp:posOffset>
            </wp:positionH>
            <wp:positionV relativeFrom="paragraph">
              <wp:posOffset>50800</wp:posOffset>
            </wp:positionV>
            <wp:extent cx="607695" cy="1345565"/>
            <wp:effectExtent l="0" t="0" r="0" b="0"/>
            <wp:wrapThrough wrapText="bothSides">
              <wp:wrapPolygon edited="0">
                <wp:start x="7448" y="0"/>
                <wp:lineTo x="0" y="1529"/>
                <wp:lineTo x="0" y="18960"/>
                <wp:lineTo x="3386" y="21406"/>
                <wp:lineTo x="4063" y="21406"/>
                <wp:lineTo x="14219" y="21406"/>
                <wp:lineTo x="14897" y="21406"/>
                <wp:lineTo x="16928" y="19571"/>
                <wp:lineTo x="18282" y="9786"/>
                <wp:lineTo x="20991" y="5810"/>
                <wp:lineTo x="20991" y="917"/>
                <wp:lineTo x="18282" y="0"/>
                <wp:lineTo x="7448" y="0"/>
              </wp:wrapPolygon>
            </wp:wrapThrough>
            <wp:docPr id="1408486649" name="Immagine 1" descr="Immagine che contiene estintore, testo,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86649" name="Immagine 1" descr="Immagine che contiene estintore, testo, ross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07695" cy="1345565"/>
                    </a:xfrm>
                    <a:prstGeom prst="rect">
                      <a:avLst/>
                    </a:prstGeom>
                  </pic:spPr>
                </pic:pic>
              </a:graphicData>
            </a:graphic>
            <wp14:sizeRelH relativeFrom="margin">
              <wp14:pctWidth>0</wp14:pctWidth>
            </wp14:sizeRelH>
            <wp14:sizeRelV relativeFrom="margin">
              <wp14:pctHeight>0</wp14:pctHeight>
            </wp14:sizeRelV>
          </wp:anchor>
        </w:drawing>
      </w:r>
    </w:p>
    <w:p w14:paraId="2A091F86" w14:textId="134BB915" w:rsidR="00D776FD" w:rsidRDefault="00D776FD" w:rsidP="00D776FD">
      <w:pPr>
        <w:pStyle w:val="NormaleWeb"/>
        <w:shd w:val="clear" w:color="auto" w:fill="FFFFFF"/>
        <w:spacing w:before="300" w:beforeAutospacing="0" w:after="300" w:afterAutospacing="0"/>
        <w:rPr>
          <w:rFonts w:ascii="Open Sans" w:hAnsi="Open Sans" w:cs="Open Sans"/>
          <w:color w:val="253856"/>
        </w:rPr>
      </w:pPr>
      <w:r>
        <w:rPr>
          <w:rFonts w:ascii="Open Sans" w:hAnsi="Open Sans" w:cs="Open Sans"/>
          <w:color w:val="253856"/>
        </w:rPr>
        <w:t>Per assicurare un buon funzionamento degli estintori è indispensabile, dopo l’acquisto, provvedere alla</w:t>
      </w:r>
      <w:r w:rsidR="00566F44">
        <w:rPr>
          <w:rFonts w:ascii="Open Sans" w:hAnsi="Open Sans" w:cs="Open Sans"/>
          <w:color w:val="253856"/>
        </w:rPr>
        <w:t xml:space="preserve"> </w:t>
      </w:r>
      <w:hyperlink r:id="rId13" w:tgtFrame="_blank" w:history="1">
        <w:r>
          <w:rPr>
            <w:rStyle w:val="Collegamentoipertestuale"/>
            <w:rFonts w:ascii="Open Sans" w:hAnsi="Open Sans" w:cs="Open Sans"/>
            <w:color w:val="428DC9"/>
          </w:rPr>
          <w:t>manutenzione periodica</w:t>
        </w:r>
      </w:hyperlink>
      <w:r>
        <w:rPr>
          <w:rFonts w:ascii="Open Sans" w:hAnsi="Open Sans" w:cs="Open Sans"/>
          <w:color w:val="253856"/>
        </w:rPr>
        <w:t>, secondo le norme vigenti.</w:t>
      </w:r>
      <w:r w:rsidR="002D5809" w:rsidRPr="002D5809">
        <w:rPr>
          <w:rFonts w:asciiTheme="minorHAnsi" w:hAnsiTheme="minorHAnsi" w:cstheme="minorHAnsi"/>
        </w:rPr>
        <w:t xml:space="preserve"> </w:t>
      </w:r>
    </w:p>
    <w:p w14:paraId="04041EC2" w14:textId="77777777" w:rsidR="0015263F" w:rsidRDefault="0015263F" w:rsidP="009B4BCF">
      <w:pPr>
        <w:rPr>
          <w:rStyle w:val="Enfasigrassetto"/>
          <w:rFonts w:eastAsiaTheme="majorEastAsia" w:cstheme="minorHAnsi"/>
          <w:color w:val="3F444A"/>
        </w:rPr>
      </w:pPr>
      <w:r w:rsidRPr="0015263F">
        <w:rPr>
          <w:rStyle w:val="Enfasigrassetto"/>
          <w:rFonts w:eastAsiaTheme="majorEastAsia" w:cstheme="minorHAnsi"/>
          <w:color w:val="3F444A"/>
        </w:rPr>
        <w:lastRenderedPageBreak/>
        <w:t>Classificazione degli estintori: come leggere l’etichetta</w:t>
      </w:r>
    </w:p>
    <w:p w14:paraId="2CCFC55C" w14:textId="249F2A2F" w:rsidR="00B95A9D" w:rsidRPr="00B95A9D" w:rsidRDefault="00646DD2" w:rsidP="00B95A9D">
      <w:pPr>
        <w:rPr>
          <w:lang w:eastAsia="it-IT"/>
        </w:rPr>
      </w:pPr>
      <w:r w:rsidRPr="008A451B">
        <w:rPr>
          <w:rFonts w:cstheme="minorHAnsi"/>
          <w:noProof/>
        </w:rPr>
        <w:drawing>
          <wp:anchor distT="0" distB="0" distL="114300" distR="114300" simplePos="0" relativeHeight="251667968" behindDoc="0" locked="0" layoutInCell="1" allowOverlap="1" wp14:anchorId="3158E147" wp14:editId="1F79EA0D">
            <wp:simplePos x="0" y="0"/>
            <wp:positionH relativeFrom="column">
              <wp:posOffset>1887220</wp:posOffset>
            </wp:positionH>
            <wp:positionV relativeFrom="paragraph">
              <wp:posOffset>624840</wp:posOffset>
            </wp:positionV>
            <wp:extent cx="2163445" cy="2993390"/>
            <wp:effectExtent l="0" t="0" r="0" b="0"/>
            <wp:wrapSquare wrapText="bothSides"/>
            <wp:docPr id="1504580318" name="Immagine 1" descr="Immagine che contiene testo, schermata, Carattere,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80318" name="Immagine 1" descr="Immagine che contiene testo, schermata, Carattere, Stampa&#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3445" cy="2993390"/>
                    </a:xfrm>
                    <a:prstGeom prst="rect">
                      <a:avLst/>
                    </a:prstGeom>
                  </pic:spPr>
                </pic:pic>
              </a:graphicData>
            </a:graphic>
            <wp14:sizeRelH relativeFrom="margin">
              <wp14:pctWidth>0</wp14:pctWidth>
            </wp14:sizeRelH>
            <wp14:sizeRelV relativeFrom="margin">
              <wp14:pctHeight>0</wp14:pctHeight>
            </wp14:sizeRelV>
          </wp:anchor>
        </w:drawing>
      </w:r>
      <w:r w:rsidR="00B95A9D" w:rsidRPr="00B95A9D">
        <w:rPr>
          <w:lang w:eastAsia="it-IT"/>
        </w:rPr>
        <w:t>Ogni estintore in regola riporta un’etichetta, in genere di colore contrastante con lo sfondo, suddivisa in 5 parti per evidenziare diverse informazioni:</w:t>
      </w:r>
    </w:p>
    <w:p w14:paraId="39D33742" w14:textId="3FE8CE19" w:rsidR="00B95A9D" w:rsidRDefault="00B95A9D" w:rsidP="004A443B">
      <w:pPr>
        <w:pStyle w:val="Paragrafoelenco"/>
        <w:numPr>
          <w:ilvl w:val="0"/>
          <w:numId w:val="36"/>
        </w:numPr>
        <w:ind w:left="426"/>
        <w:rPr>
          <w:sz w:val="20"/>
          <w:szCs w:val="20"/>
          <w:lang w:eastAsia="it-IT"/>
        </w:rPr>
      </w:pPr>
      <w:r w:rsidRPr="004A443B">
        <w:rPr>
          <w:sz w:val="20"/>
          <w:szCs w:val="20"/>
          <w:lang w:eastAsia="it-IT"/>
        </w:rPr>
        <w:t>agente estinguente e classi di fuoco</w:t>
      </w:r>
    </w:p>
    <w:p w14:paraId="2598F8A3" w14:textId="77777777" w:rsidR="00E61552" w:rsidRPr="004A443B" w:rsidRDefault="00E61552" w:rsidP="00E61552">
      <w:pPr>
        <w:pStyle w:val="Paragrafoelenco"/>
        <w:ind w:left="426"/>
        <w:rPr>
          <w:sz w:val="20"/>
          <w:szCs w:val="20"/>
          <w:lang w:eastAsia="it-IT"/>
        </w:rPr>
      </w:pPr>
    </w:p>
    <w:p w14:paraId="76FBBAD6" w14:textId="1E0A2215" w:rsidR="00B95A9D" w:rsidRDefault="00B95A9D" w:rsidP="004A443B">
      <w:pPr>
        <w:pStyle w:val="Paragrafoelenco"/>
        <w:numPr>
          <w:ilvl w:val="0"/>
          <w:numId w:val="36"/>
        </w:numPr>
        <w:ind w:left="426"/>
        <w:rPr>
          <w:sz w:val="20"/>
          <w:szCs w:val="20"/>
          <w:lang w:eastAsia="it-IT"/>
        </w:rPr>
      </w:pPr>
      <w:r w:rsidRPr="004A443B">
        <w:rPr>
          <w:sz w:val="20"/>
          <w:szCs w:val="20"/>
          <w:lang w:eastAsia="it-IT"/>
        </w:rPr>
        <w:t>istruzioni per l’uso, simboli dei focolari idonei ad estinguere</w:t>
      </w:r>
    </w:p>
    <w:p w14:paraId="419EA327" w14:textId="77777777" w:rsidR="00E05434" w:rsidRDefault="00E05434" w:rsidP="00E05434">
      <w:pPr>
        <w:rPr>
          <w:szCs w:val="20"/>
          <w:lang w:eastAsia="it-IT"/>
        </w:rPr>
      </w:pPr>
    </w:p>
    <w:p w14:paraId="323B981B" w14:textId="3C81B315" w:rsidR="00B95A9D" w:rsidRDefault="00B95A9D" w:rsidP="004A443B">
      <w:pPr>
        <w:pStyle w:val="Paragrafoelenco"/>
        <w:numPr>
          <w:ilvl w:val="0"/>
          <w:numId w:val="36"/>
        </w:numPr>
        <w:ind w:left="426"/>
        <w:rPr>
          <w:sz w:val="20"/>
          <w:szCs w:val="20"/>
          <w:lang w:eastAsia="it-IT"/>
        </w:rPr>
      </w:pPr>
      <w:r w:rsidRPr="004A443B">
        <w:rPr>
          <w:sz w:val="20"/>
          <w:szCs w:val="20"/>
          <w:lang w:eastAsia="it-IT"/>
        </w:rPr>
        <w:t>avvertenze di pericolo</w:t>
      </w:r>
    </w:p>
    <w:p w14:paraId="1F6518D2" w14:textId="77777777" w:rsidR="00E61552" w:rsidRPr="00E61552" w:rsidRDefault="00E61552" w:rsidP="00E61552">
      <w:pPr>
        <w:pStyle w:val="Paragrafoelenco"/>
        <w:rPr>
          <w:sz w:val="20"/>
          <w:szCs w:val="20"/>
          <w:lang w:eastAsia="it-IT"/>
        </w:rPr>
      </w:pPr>
    </w:p>
    <w:p w14:paraId="78097F49" w14:textId="77777777" w:rsidR="00E61552" w:rsidRPr="004A443B" w:rsidRDefault="00E61552" w:rsidP="00E61552">
      <w:pPr>
        <w:pStyle w:val="Paragrafoelenco"/>
        <w:ind w:left="426"/>
        <w:rPr>
          <w:sz w:val="20"/>
          <w:szCs w:val="20"/>
          <w:lang w:eastAsia="it-IT"/>
        </w:rPr>
      </w:pPr>
    </w:p>
    <w:p w14:paraId="33472118" w14:textId="0F09ABB6" w:rsidR="00B95A9D" w:rsidRDefault="00B95A9D" w:rsidP="004A443B">
      <w:pPr>
        <w:pStyle w:val="Paragrafoelenco"/>
        <w:numPr>
          <w:ilvl w:val="0"/>
          <w:numId w:val="36"/>
        </w:numPr>
        <w:ind w:left="426"/>
        <w:rPr>
          <w:sz w:val="20"/>
          <w:szCs w:val="20"/>
          <w:lang w:eastAsia="it-IT"/>
        </w:rPr>
      </w:pPr>
      <w:r w:rsidRPr="004A443B">
        <w:rPr>
          <w:sz w:val="20"/>
          <w:szCs w:val="20"/>
          <w:lang w:eastAsia="it-IT"/>
        </w:rPr>
        <w:t>avvertenze generali e omologazione</w:t>
      </w:r>
    </w:p>
    <w:p w14:paraId="070F9183" w14:textId="77777777" w:rsidR="00E61552" w:rsidRPr="004A443B" w:rsidRDefault="00E61552" w:rsidP="00E61552">
      <w:pPr>
        <w:pStyle w:val="Paragrafoelenco"/>
        <w:ind w:left="426"/>
        <w:rPr>
          <w:sz w:val="20"/>
          <w:szCs w:val="20"/>
          <w:lang w:eastAsia="it-IT"/>
        </w:rPr>
      </w:pPr>
    </w:p>
    <w:p w14:paraId="4ACD7507" w14:textId="3BB72A22" w:rsidR="00B95A9D" w:rsidRPr="004A443B" w:rsidRDefault="00B95A9D" w:rsidP="004A443B">
      <w:pPr>
        <w:pStyle w:val="Paragrafoelenco"/>
        <w:numPr>
          <w:ilvl w:val="0"/>
          <w:numId w:val="36"/>
        </w:numPr>
        <w:ind w:left="426"/>
        <w:rPr>
          <w:sz w:val="20"/>
          <w:szCs w:val="20"/>
          <w:lang w:eastAsia="it-IT"/>
        </w:rPr>
      </w:pPr>
      <w:r w:rsidRPr="004A443B">
        <w:rPr>
          <w:sz w:val="20"/>
          <w:szCs w:val="20"/>
          <w:lang w:eastAsia="it-IT"/>
        </w:rPr>
        <w:t>nome della società responsabile</w:t>
      </w:r>
    </w:p>
    <w:p w14:paraId="740D843E" w14:textId="77777777" w:rsidR="003E2F98" w:rsidRDefault="003E2F98" w:rsidP="009B4BCF">
      <w:pPr>
        <w:rPr>
          <w:rStyle w:val="Enfasigrassetto"/>
          <w:rFonts w:cstheme="minorHAnsi"/>
          <w:color w:val="000000"/>
          <w:sz w:val="27"/>
          <w:szCs w:val="27"/>
        </w:rPr>
      </w:pPr>
    </w:p>
    <w:p w14:paraId="37343057" w14:textId="506955CD" w:rsidR="00047FD8" w:rsidRPr="008A451B" w:rsidRDefault="009B4BCF" w:rsidP="009B4BCF">
      <w:pPr>
        <w:rPr>
          <w:rFonts w:cstheme="minorHAnsi"/>
        </w:rPr>
      </w:pPr>
      <w:r w:rsidRPr="008A451B">
        <w:rPr>
          <w:rStyle w:val="Enfasigrassetto"/>
          <w:rFonts w:cstheme="minorHAnsi"/>
          <w:color w:val="000000"/>
          <w:sz w:val="27"/>
          <w:szCs w:val="27"/>
        </w:rPr>
        <w:t>Esempio di classi di fuoco:</w:t>
      </w:r>
    </w:p>
    <w:p w14:paraId="1449F905" w14:textId="59C828EC" w:rsidR="009B4BCF" w:rsidRPr="008A451B" w:rsidRDefault="009B4BCF" w:rsidP="003E2F98">
      <w:pPr>
        <w:spacing w:after="0"/>
        <w:rPr>
          <w:rFonts w:cstheme="minorHAnsi"/>
        </w:rPr>
      </w:pPr>
      <w:r w:rsidRPr="008A451B">
        <w:rPr>
          <w:rFonts w:cstheme="minorHAnsi"/>
        </w:rPr>
        <w:t xml:space="preserve">se sull'etichetta troviamo scritto </w:t>
      </w:r>
      <w:r w:rsidRPr="008A451B">
        <w:rPr>
          <w:rStyle w:val="Enfasigrassetto"/>
          <w:rFonts w:cstheme="minorHAnsi"/>
          <w:color w:val="000000"/>
          <w:sz w:val="27"/>
          <w:szCs w:val="27"/>
        </w:rPr>
        <w:t>34 A 233 B C</w:t>
      </w:r>
    </w:p>
    <w:p w14:paraId="74E2E0A6" w14:textId="0D9039F1" w:rsidR="009B4BCF" w:rsidRPr="008A451B" w:rsidRDefault="009B4BCF" w:rsidP="003E2F98">
      <w:pPr>
        <w:spacing w:after="0"/>
        <w:rPr>
          <w:rFonts w:cstheme="minorHAnsi"/>
        </w:rPr>
      </w:pPr>
      <w:r w:rsidRPr="008A451B">
        <w:rPr>
          <w:rStyle w:val="Enfasigrassetto"/>
          <w:rFonts w:cstheme="minorHAnsi"/>
          <w:color w:val="000000"/>
          <w:sz w:val="27"/>
          <w:szCs w:val="27"/>
        </w:rPr>
        <w:t>34</w:t>
      </w:r>
      <w:r w:rsidRPr="008A451B">
        <w:rPr>
          <w:rFonts w:cstheme="minorHAnsi"/>
        </w:rPr>
        <w:t xml:space="preserve"> è una catasta di legna formata da 34 file di traversini di 5 cm x 5 cm</w:t>
      </w:r>
    </w:p>
    <w:p w14:paraId="3ED1241C" w14:textId="50E41DDD" w:rsidR="009B4BCF" w:rsidRPr="008A451B" w:rsidRDefault="009B4BCF" w:rsidP="003E2F98">
      <w:pPr>
        <w:spacing w:after="0"/>
        <w:rPr>
          <w:rFonts w:cstheme="minorHAnsi"/>
        </w:rPr>
      </w:pPr>
      <w:r w:rsidRPr="008A451B">
        <w:rPr>
          <w:rStyle w:val="Enfasigrassetto"/>
          <w:rFonts w:cstheme="minorHAnsi"/>
          <w:color w:val="000000"/>
          <w:sz w:val="27"/>
          <w:szCs w:val="27"/>
        </w:rPr>
        <w:t>A</w:t>
      </w:r>
      <w:r w:rsidRPr="008A451B">
        <w:rPr>
          <w:rFonts w:cstheme="minorHAnsi"/>
        </w:rPr>
        <w:t xml:space="preserve"> è la classe di fuoco</w:t>
      </w:r>
    </w:p>
    <w:p w14:paraId="78631DE9" w14:textId="0B61E1A7" w:rsidR="009B4BCF" w:rsidRPr="008A451B" w:rsidRDefault="009B4BCF" w:rsidP="003E2F98">
      <w:pPr>
        <w:spacing w:after="0"/>
        <w:rPr>
          <w:rFonts w:cstheme="minorHAnsi"/>
        </w:rPr>
      </w:pPr>
      <w:r w:rsidRPr="008A451B">
        <w:rPr>
          <w:rStyle w:val="Enfasigrassetto"/>
          <w:rFonts w:cstheme="minorHAnsi"/>
          <w:color w:val="000000"/>
          <w:sz w:val="27"/>
          <w:szCs w:val="27"/>
        </w:rPr>
        <w:t xml:space="preserve">233 </w:t>
      </w:r>
      <w:r w:rsidRPr="008A451B">
        <w:rPr>
          <w:rFonts w:cstheme="minorHAnsi"/>
        </w:rPr>
        <w:t>sono i litri di liquido infiammabile che l'estintore spegne, mescolati ad acqua (1/3 acqua)</w:t>
      </w:r>
      <w:r w:rsidR="00F504E8" w:rsidRPr="008A451B">
        <w:rPr>
          <w:rFonts w:cstheme="minorHAnsi"/>
          <w:noProof/>
        </w:rPr>
        <w:t xml:space="preserve"> </w:t>
      </w:r>
    </w:p>
    <w:p w14:paraId="0D7F6863" w14:textId="619E0562" w:rsidR="009B4BCF" w:rsidRPr="008A451B" w:rsidRDefault="009B4BCF" w:rsidP="003E2F98">
      <w:pPr>
        <w:spacing w:after="0"/>
        <w:rPr>
          <w:rFonts w:cstheme="minorHAnsi"/>
        </w:rPr>
      </w:pPr>
      <w:r w:rsidRPr="008A451B">
        <w:rPr>
          <w:rStyle w:val="Enfasigrassetto"/>
          <w:rFonts w:cstheme="minorHAnsi"/>
          <w:color w:val="000000"/>
          <w:sz w:val="27"/>
          <w:szCs w:val="27"/>
        </w:rPr>
        <w:t>B</w:t>
      </w:r>
      <w:r w:rsidRPr="008A451B">
        <w:rPr>
          <w:rFonts w:cstheme="minorHAnsi"/>
        </w:rPr>
        <w:t xml:space="preserve"> è la classe di fuoco</w:t>
      </w:r>
    </w:p>
    <w:p w14:paraId="60E55460" w14:textId="50D5C9FD" w:rsidR="009B4BCF" w:rsidRPr="008A451B" w:rsidRDefault="009B4BCF" w:rsidP="003E2F98">
      <w:pPr>
        <w:spacing w:after="0"/>
        <w:rPr>
          <w:rFonts w:cstheme="minorHAnsi"/>
        </w:rPr>
      </w:pPr>
      <w:r w:rsidRPr="008A451B">
        <w:rPr>
          <w:rStyle w:val="Enfasigrassetto"/>
          <w:rFonts w:cstheme="minorHAnsi"/>
          <w:color w:val="000000"/>
          <w:sz w:val="27"/>
          <w:szCs w:val="27"/>
        </w:rPr>
        <w:t>C</w:t>
      </w:r>
      <w:r w:rsidRPr="008A451B">
        <w:rPr>
          <w:rFonts w:cstheme="minorHAnsi"/>
        </w:rPr>
        <w:t xml:space="preserve"> è la classe di fuoco</w:t>
      </w:r>
    </w:p>
    <w:sectPr w:rsidR="009B4BCF" w:rsidRPr="008A451B" w:rsidSect="004511D4">
      <w:footerReference w:type="default" r:id="rId15"/>
      <w:footerReference w:type="first" r:id="rId16"/>
      <w:pgSz w:w="8391" w:h="11907" w:code="11"/>
      <w:pgMar w:top="851" w:right="1134"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57CB" w14:textId="77777777" w:rsidR="00E03B72" w:rsidRDefault="00E03B72" w:rsidP="005730D1">
      <w:pPr>
        <w:spacing w:after="0" w:line="240" w:lineRule="auto"/>
      </w:pPr>
      <w:r>
        <w:separator/>
      </w:r>
    </w:p>
  </w:endnote>
  <w:endnote w:type="continuationSeparator" w:id="0">
    <w:p w14:paraId="7FC4B359" w14:textId="77777777" w:rsidR="00E03B72" w:rsidRDefault="00E03B72" w:rsidP="0057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rPr>
      <w:id w:val="800461"/>
      <w:docPartObj>
        <w:docPartGallery w:val="Page Numbers (Bottom of Page)"/>
        <w:docPartUnique/>
      </w:docPartObj>
    </w:sdtPr>
    <w:sdtEndPr/>
    <w:sdtContent>
      <w:p w14:paraId="1157715D" w14:textId="2FB3EBCE" w:rsidR="005730D1" w:rsidRPr="000B7FBB" w:rsidRDefault="000B7FBB" w:rsidP="005730D1">
        <w:pPr>
          <w:pStyle w:val="Pidipagina"/>
          <w:rPr>
            <w:rFonts w:cstheme="minorHAnsi"/>
            <w:sz w:val="16"/>
          </w:rPr>
        </w:pPr>
        <w:proofErr w:type="spellStart"/>
        <w:r w:rsidRPr="000B7FBB">
          <w:rPr>
            <w:rFonts w:cstheme="minorHAnsi"/>
            <w:sz w:val="16"/>
          </w:rPr>
          <w:t>lib</w:t>
        </w:r>
        <w:proofErr w:type="spellEnd"/>
        <w:r w:rsidRPr="000B7FBB">
          <w:rPr>
            <w:rFonts w:cstheme="minorHAnsi"/>
            <w:sz w:val="16"/>
          </w:rPr>
          <w:t>. 0</w:t>
        </w:r>
        <w:r w:rsidR="00C75B0A">
          <w:rPr>
            <w:rFonts w:cstheme="minorHAnsi"/>
            <w:sz w:val="16"/>
          </w:rPr>
          <w:t>16</w:t>
        </w:r>
        <w:r w:rsidRPr="000B7FBB">
          <w:rPr>
            <w:rFonts w:cstheme="minorHAnsi"/>
            <w:sz w:val="16"/>
          </w:rPr>
          <w:t xml:space="preserve"> rev. 00</w:t>
        </w:r>
        <w:r w:rsidR="007F1AD9">
          <w:rPr>
            <w:rFonts w:cstheme="minorHAnsi"/>
            <w:sz w:val="16"/>
          </w:rPr>
          <w:t>2</w:t>
        </w:r>
        <w:r w:rsidRPr="000B7FBB">
          <w:rPr>
            <w:rFonts w:cstheme="minorHAnsi"/>
            <w:sz w:val="16"/>
          </w:rPr>
          <w:t xml:space="preserve"> </w:t>
        </w:r>
        <w:r>
          <w:rPr>
            <w:rFonts w:cstheme="minorHAnsi"/>
            <w:sz w:val="16"/>
          </w:rPr>
          <w:tab/>
        </w:r>
        <w:r w:rsidR="007F1AD9">
          <w:rPr>
            <w:rFonts w:cstheme="minorHAnsi"/>
            <w:sz w:val="16"/>
          </w:rPr>
          <w:t>30</w:t>
        </w:r>
        <w:r w:rsidRPr="000B7FBB">
          <w:rPr>
            <w:rFonts w:cstheme="minorHAnsi"/>
            <w:sz w:val="16"/>
          </w:rPr>
          <w:t>/</w:t>
        </w:r>
        <w:r w:rsidR="00C75B0A">
          <w:rPr>
            <w:rFonts w:cstheme="minorHAnsi"/>
            <w:sz w:val="16"/>
          </w:rPr>
          <w:t>08</w:t>
        </w:r>
        <w:r w:rsidRPr="000B7FBB">
          <w:rPr>
            <w:rFonts w:cstheme="minorHAnsi"/>
            <w:sz w:val="16"/>
          </w:rPr>
          <w:t>/20</w:t>
        </w:r>
        <w:r w:rsidR="00C75B0A">
          <w:rPr>
            <w:rFonts w:cstheme="minorHAnsi"/>
            <w:sz w:val="16"/>
          </w:rPr>
          <w:t>2</w:t>
        </w:r>
        <w:r w:rsidR="007F1AD9">
          <w:rPr>
            <w:rFonts w:cstheme="minorHAnsi"/>
            <w:sz w:val="16"/>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rPr>
      <w:id w:val="800480"/>
      <w:docPartObj>
        <w:docPartGallery w:val="Page Numbers (Bottom of Page)"/>
        <w:docPartUnique/>
      </w:docPartObj>
    </w:sdtPr>
    <w:sdtEndPr/>
    <w:sdtContent>
      <w:p w14:paraId="1157715E" w14:textId="77777777" w:rsidR="007C315F" w:rsidRPr="000B7FBB" w:rsidRDefault="007C315F" w:rsidP="007C315F">
        <w:pPr>
          <w:pStyle w:val="Pidipagina"/>
          <w:rPr>
            <w:rFonts w:cstheme="minorHAnsi"/>
            <w:sz w:val="16"/>
          </w:rPr>
        </w:pPr>
        <w:proofErr w:type="spellStart"/>
        <w:r w:rsidRPr="000B7FBB">
          <w:rPr>
            <w:rFonts w:cstheme="minorHAnsi"/>
            <w:sz w:val="16"/>
          </w:rPr>
          <w:t>lib</w:t>
        </w:r>
        <w:proofErr w:type="spellEnd"/>
        <w:r w:rsidRPr="000B7FBB">
          <w:rPr>
            <w:rFonts w:cstheme="minorHAnsi"/>
            <w:sz w:val="16"/>
          </w:rPr>
          <w:t>. 0</w:t>
        </w:r>
        <w:r w:rsidR="00C71155">
          <w:rPr>
            <w:rFonts w:cstheme="minorHAnsi"/>
            <w:sz w:val="16"/>
          </w:rPr>
          <w:t>16</w:t>
        </w:r>
        <w:r w:rsidRPr="000B7FBB">
          <w:rPr>
            <w:rFonts w:cstheme="minorHAnsi"/>
            <w:sz w:val="16"/>
          </w:rPr>
          <w:t xml:space="preserve"> rev. 000 </w:t>
        </w:r>
        <w:r>
          <w:rPr>
            <w:rFonts w:cstheme="minorHAnsi"/>
            <w:sz w:val="16"/>
          </w:rPr>
          <w:tab/>
        </w:r>
        <w:r w:rsidR="00751BC7">
          <w:rPr>
            <w:rFonts w:cstheme="minorHAnsi"/>
            <w:sz w:val="16"/>
          </w:rPr>
          <w:t>17</w:t>
        </w:r>
        <w:r w:rsidRPr="000B7FBB">
          <w:rPr>
            <w:rFonts w:cstheme="minorHAnsi"/>
            <w:sz w:val="16"/>
          </w:rPr>
          <w:t>/</w:t>
        </w:r>
        <w:r w:rsidR="00751BC7">
          <w:rPr>
            <w:rFonts w:cstheme="minorHAnsi"/>
            <w:sz w:val="16"/>
          </w:rPr>
          <w:t>08</w:t>
        </w:r>
        <w:r w:rsidRPr="000B7FBB">
          <w:rPr>
            <w:rFonts w:cstheme="minorHAnsi"/>
            <w:sz w:val="16"/>
          </w:rPr>
          <w:t>/20</w:t>
        </w:r>
        <w:r w:rsidR="00751BC7">
          <w:rPr>
            <w:rFonts w:cstheme="minorHAnsi"/>
            <w:sz w:val="16"/>
          </w:rPr>
          <w:t>20</w:t>
        </w:r>
      </w:p>
    </w:sdtContent>
  </w:sdt>
  <w:p w14:paraId="1157715F" w14:textId="77777777" w:rsidR="007C315F" w:rsidRDefault="007C31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E389" w14:textId="77777777" w:rsidR="00E03B72" w:rsidRDefault="00E03B72" w:rsidP="005730D1">
      <w:pPr>
        <w:spacing w:after="0" w:line="240" w:lineRule="auto"/>
      </w:pPr>
      <w:r>
        <w:separator/>
      </w:r>
    </w:p>
  </w:footnote>
  <w:footnote w:type="continuationSeparator" w:id="0">
    <w:p w14:paraId="7C0CD3C8" w14:textId="77777777" w:rsidR="00E03B72" w:rsidRDefault="00E03B72" w:rsidP="00573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49"/>
    <w:multiLevelType w:val="hybridMultilevel"/>
    <w:tmpl w:val="0BDC3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9164C"/>
    <w:multiLevelType w:val="multilevel"/>
    <w:tmpl w:val="C37E2A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77949"/>
    <w:multiLevelType w:val="hybridMultilevel"/>
    <w:tmpl w:val="839C881C"/>
    <w:lvl w:ilvl="0" w:tplc="C67276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C4BE7"/>
    <w:multiLevelType w:val="hybridMultilevel"/>
    <w:tmpl w:val="F8DEEF9E"/>
    <w:lvl w:ilvl="0" w:tplc="533E02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8A6D14"/>
    <w:multiLevelType w:val="hybridMultilevel"/>
    <w:tmpl w:val="5D5AB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90574"/>
    <w:multiLevelType w:val="hybridMultilevel"/>
    <w:tmpl w:val="E19A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6D6037"/>
    <w:multiLevelType w:val="hybridMultilevel"/>
    <w:tmpl w:val="E12CF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D44DCC"/>
    <w:multiLevelType w:val="multilevel"/>
    <w:tmpl w:val="7FC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5733F"/>
    <w:multiLevelType w:val="hybridMultilevel"/>
    <w:tmpl w:val="36C46CC8"/>
    <w:lvl w:ilvl="0" w:tplc="533E026A">
      <w:start w:val="1"/>
      <w:numFmt w:val="upperLetter"/>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6E150F1"/>
    <w:multiLevelType w:val="multilevel"/>
    <w:tmpl w:val="EC8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103AA"/>
    <w:multiLevelType w:val="multilevel"/>
    <w:tmpl w:val="056E95CC"/>
    <w:lvl w:ilvl="0">
      <w:start w:val="1"/>
      <w:numFmt w:val="decimal"/>
      <w:lvlText w:val="%1."/>
      <w:lvlJc w:val="left"/>
      <w:pPr>
        <w:tabs>
          <w:tab w:val="num" w:pos="360"/>
        </w:tabs>
        <w:ind w:left="360" w:hanging="360"/>
      </w:pPr>
      <w:rPr>
        <w:b/>
        <w:color w:val="FF000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330A2A"/>
    <w:multiLevelType w:val="hybridMultilevel"/>
    <w:tmpl w:val="2306234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2E745AD8"/>
    <w:multiLevelType w:val="hybridMultilevel"/>
    <w:tmpl w:val="A7CCD09E"/>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3" w15:restartNumberingAfterBreak="0">
    <w:nsid w:val="31070D7C"/>
    <w:multiLevelType w:val="hybridMultilevel"/>
    <w:tmpl w:val="A1FCC7D0"/>
    <w:lvl w:ilvl="0" w:tplc="04100017">
      <w:start w:val="1"/>
      <w:numFmt w:val="lowerLetter"/>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322F683B"/>
    <w:multiLevelType w:val="hybridMultilevel"/>
    <w:tmpl w:val="B97EBEC6"/>
    <w:lvl w:ilvl="0" w:tplc="4B345A8C">
      <w:start w:val="1"/>
      <w:numFmt w:val="lowerLetter"/>
      <w:lvlText w:val="%1)"/>
      <w:lvlJc w:val="left"/>
      <w:pPr>
        <w:ind w:left="1004" w:hanging="360"/>
      </w:pPr>
      <w:rPr>
        <w:color w:val="FF000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9582B46"/>
    <w:multiLevelType w:val="hybridMultilevel"/>
    <w:tmpl w:val="600AC458"/>
    <w:lvl w:ilvl="0" w:tplc="C67276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993609"/>
    <w:multiLevelType w:val="multilevel"/>
    <w:tmpl w:val="C2D4E32C"/>
    <w:lvl w:ilvl="0">
      <w:start w:val="1"/>
      <w:numFmt w:val="decimal"/>
      <w:lvlText w:val="%1."/>
      <w:lvlJc w:val="left"/>
      <w:pPr>
        <w:tabs>
          <w:tab w:val="num" w:pos="360"/>
        </w:tabs>
        <w:ind w:left="360" w:hanging="360"/>
      </w:pPr>
      <w:rPr>
        <w:rFonts w:hint="default"/>
        <w:b/>
        <w:color w:val="FF000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469740BD"/>
    <w:multiLevelType w:val="hybridMultilevel"/>
    <w:tmpl w:val="79F42860"/>
    <w:lvl w:ilvl="0" w:tplc="67E2D98E">
      <w:start w:val="1"/>
      <w:numFmt w:val="upperLetter"/>
      <w:lvlText w:val="%1)"/>
      <w:lvlJc w:val="left"/>
      <w:pPr>
        <w:ind w:left="1004" w:hanging="360"/>
      </w:pPr>
      <w:rPr>
        <w:rFonts w:hint="default"/>
        <w:b/>
        <w:color w:val="FF000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4A0268EF"/>
    <w:multiLevelType w:val="multilevel"/>
    <w:tmpl w:val="B20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5643C"/>
    <w:multiLevelType w:val="hybridMultilevel"/>
    <w:tmpl w:val="2F289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737CF5"/>
    <w:multiLevelType w:val="hybridMultilevel"/>
    <w:tmpl w:val="CE449398"/>
    <w:lvl w:ilvl="0" w:tplc="04100001">
      <w:start w:val="1"/>
      <w:numFmt w:val="bullet"/>
      <w:lvlText w:val=""/>
      <w:lvlJc w:val="left"/>
      <w:pPr>
        <w:ind w:left="720" w:hanging="360"/>
      </w:pPr>
      <w:rPr>
        <w:rFonts w:ascii="Symbol" w:hAnsi="Symbol" w:hint="default"/>
      </w:rPr>
    </w:lvl>
    <w:lvl w:ilvl="1" w:tplc="A1280ACC">
      <w:numFmt w:val="bullet"/>
      <w:lvlText w:val="-"/>
      <w:lvlJc w:val="left"/>
      <w:pPr>
        <w:ind w:left="1440" w:hanging="360"/>
      </w:pPr>
      <w:rPr>
        <w:rFonts w:ascii="Open Sans" w:eastAsia="Times New Roman"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AB4C8E"/>
    <w:multiLevelType w:val="hybridMultilevel"/>
    <w:tmpl w:val="2A6CF9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FF1C39"/>
    <w:multiLevelType w:val="hybridMultilevel"/>
    <w:tmpl w:val="00B68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5B259F"/>
    <w:multiLevelType w:val="hybridMultilevel"/>
    <w:tmpl w:val="1DB89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622CAB"/>
    <w:multiLevelType w:val="multilevel"/>
    <w:tmpl w:val="B29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A668A"/>
    <w:multiLevelType w:val="multilevel"/>
    <w:tmpl w:val="0C7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12072"/>
    <w:multiLevelType w:val="multilevel"/>
    <w:tmpl w:val="C37E2A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0C67C9"/>
    <w:multiLevelType w:val="multilevel"/>
    <w:tmpl w:val="AA0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1165F"/>
    <w:multiLevelType w:val="multilevel"/>
    <w:tmpl w:val="FCC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F51DC"/>
    <w:multiLevelType w:val="multilevel"/>
    <w:tmpl w:val="625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A4CD8"/>
    <w:multiLevelType w:val="hybridMultilevel"/>
    <w:tmpl w:val="9B126E78"/>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31" w15:restartNumberingAfterBreak="0">
    <w:nsid w:val="745F41F7"/>
    <w:multiLevelType w:val="hybridMultilevel"/>
    <w:tmpl w:val="34A038B8"/>
    <w:lvl w:ilvl="0" w:tplc="5BC403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48025CB"/>
    <w:multiLevelType w:val="multilevel"/>
    <w:tmpl w:val="15E098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737DC4"/>
    <w:multiLevelType w:val="hybridMultilevel"/>
    <w:tmpl w:val="34E2160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34" w15:restartNumberingAfterBreak="0">
    <w:nsid w:val="79520AE9"/>
    <w:multiLevelType w:val="hybridMultilevel"/>
    <w:tmpl w:val="9BC8E2BA"/>
    <w:lvl w:ilvl="0" w:tplc="0410000D">
      <w:start w:val="1"/>
      <w:numFmt w:val="bullet"/>
      <w:lvlText w:val=""/>
      <w:lvlJc w:val="left"/>
      <w:pPr>
        <w:ind w:left="2232" w:hanging="360"/>
      </w:pPr>
      <w:rPr>
        <w:rFonts w:ascii="Wingdings" w:hAnsi="Wingdings"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35" w15:restartNumberingAfterBreak="0">
    <w:nsid w:val="7D532629"/>
    <w:multiLevelType w:val="multilevel"/>
    <w:tmpl w:val="72D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565526">
    <w:abstractNumId w:val="23"/>
  </w:num>
  <w:num w:numId="2" w16cid:durableId="1147211282">
    <w:abstractNumId w:val="31"/>
  </w:num>
  <w:num w:numId="3" w16cid:durableId="1539779993">
    <w:abstractNumId w:val="11"/>
  </w:num>
  <w:num w:numId="4" w16cid:durableId="1890189409">
    <w:abstractNumId w:val="33"/>
  </w:num>
  <w:num w:numId="5" w16cid:durableId="1493524236">
    <w:abstractNumId w:val="34"/>
  </w:num>
  <w:num w:numId="6" w16cid:durableId="2005428331">
    <w:abstractNumId w:val="27"/>
  </w:num>
  <w:num w:numId="7" w16cid:durableId="1471166924">
    <w:abstractNumId w:val="35"/>
  </w:num>
  <w:num w:numId="8" w16cid:durableId="1907716268">
    <w:abstractNumId w:val="7"/>
  </w:num>
  <w:num w:numId="9" w16cid:durableId="21635548">
    <w:abstractNumId w:val="25"/>
  </w:num>
  <w:num w:numId="10" w16cid:durableId="1444571886">
    <w:abstractNumId w:val="0"/>
  </w:num>
  <w:num w:numId="11" w16cid:durableId="586037581">
    <w:abstractNumId w:val="4"/>
  </w:num>
  <w:num w:numId="12" w16cid:durableId="1921136162">
    <w:abstractNumId w:val="18"/>
  </w:num>
  <w:num w:numId="13" w16cid:durableId="1227574606">
    <w:abstractNumId w:val="29"/>
  </w:num>
  <w:num w:numId="14" w16cid:durableId="999389706">
    <w:abstractNumId w:val="24"/>
  </w:num>
  <w:num w:numId="15" w16cid:durableId="1305543158">
    <w:abstractNumId w:val="28"/>
  </w:num>
  <w:num w:numId="16" w16cid:durableId="148716438">
    <w:abstractNumId w:val="16"/>
  </w:num>
  <w:num w:numId="17" w16cid:durableId="1056323075">
    <w:abstractNumId w:val="3"/>
  </w:num>
  <w:num w:numId="18" w16cid:durableId="640813602">
    <w:abstractNumId w:val="13"/>
  </w:num>
  <w:num w:numId="19" w16cid:durableId="783883168">
    <w:abstractNumId w:val="12"/>
  </w:num>
  <w:num w:numId="20" w16cid:durableId="499197289">
    <w:abstractNumId w:val="30"/>
  </w:num>
  <w:num w:numId="21" w16cid:durableId="999432484">
    <w:abstractNumId w:val="14"/>
  </w:num>
  <w:num w:numId="22" w16cid:durableId="1287466053">
    <w:abstractNumId w:val="8"/>
  </w:num>
  <w:num w:numId="23" w16cid:durableId="1215238427">
    <w:abstractNumId w:val="17"/>
  </w:num>
  <w:num w:numId="24" w16cid:durableId="134688520">
    <w:abstractNumId w:val="32"/>
  </w:num>
  <w:num w:numId="25" w16cid:durableId="1464467788">
    <w:abstractNumId w:val="26"/>
  </w:num>
  <w:num w:numId="26" w16cid:durableId="1271550335">
    <w:abstractNumId w:val="1"/>
  </w:num>
  <w:num w:numId="27" w16cid:durableId="642857217">
    <w:abstractNumId w:val="6"/>
  </w:num>
  <w:num w:numId="28" w16cid:durableId="1544173112">
    <w:abstractNumId w:val="15"/>
  </w:num>
  <w:num w:numId="29" w16cid:durableId="1966690881">
    <w:abstractNumId w:val="2"/>
  </w:num>
  <w:num w:numId="30" w16cid:durableId="2025132814">
    <w:abstractNumId w:val="19"/>
  </w:num>
  <w:num w:numId="31" w16cid:durableId="1922712551">
    <w:abstractNumId w:val="10"/>
  </w:num>
  <w:num w:numId="32" w16cid:durableId="25378269">
    <w:abstractNumId w:val="9"/>
  </w:num>
  <w:num w:numId="33" w16cid:durableId="541600061">
    <w:abstractNumId w:val="20"/>
  </w:num>
  <w:num w:numId="34" w16cid:durableId="281615140">
    <w:abstractNumId w:val="22"/>
  </w:num>
  <w:num w:numId="35" w16cid:durableId="288249735">
    <w:abstractNumId w:val="5"/>
  </w:num>
  <w:num w:numId="36" w16cid:durableId="8321865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23B"/>
    <w:rsid w:val="00010ED8"/>
    <w:rsid w:val="00027891"/>
    <w:rsid w:val="00047FD8"/>
    <w:rsid w:val="00073E83"/>
    <w:rsid w:val="000B5528"/>
    <w:rsid w:val="000B7FBB"/>
    <w:rsid w:val="001159A1"/>
    <w:rsid w:val="0015263F"/>
    <w:rsid w:val="002227C4"/>
    <w:rsid w:val="00237AC8"/>
    <w:rsid w:val="0027016E"/>
    <w:rsid w:val="00272288"/>
    <w:rsid w:val="002D5809"/>
    <w:rsid w:val="002F4339"/>
    <w:rsid w:val="003255AB"/>
    <w:rsid w:val="00346567"/>
    <w:rsid w:val="00350085"/>
    <w:rsid w:val="0035687F"/>
    <w:rsid w:val="00393DAA"/>
    <w:rsid w:val="00395CC9"/>
    <w:rsid w:val="003B4959"/>
    <w:rsid w:val="003E2BE0"/>
    <w:rsid w:val="003E2F98"/>
    <w:rsid w:val="003F16DD"/>
    <w:rsid w:val="00412EC6"/>
    <w:rsid w:val="004320E6"/>
    <w:rsid w:val="004511D4"/>
    <w:rsid w:val="004A443B"/>
    <w:rsid w:val="0051432F"/>
    <w:rsid w:val="00554E3C"/>
    <w:rsid w:val="00565C05"/>
    <w:rsid w:val="00566F44"/>
    <w:rsid w:val="005730D1"/>
    <w:rsid w:val="005A6E12"/>
    <w:rsid w:val="00623083"/>
    <w:rsid w:val="00646DD2"/>
    <w:rsid w:val="00666E78"/>
    <w:rsid w:val="00684DBB"/>
    <w:rsid w:val="006B259F"/>
    <w:rsid w:val="006D20DB"/>
    <w:rsid w:val="006F37B8"/>
    <w:rsid w:val="007009C6"/>
    <w:rsid w:val="00751BC7"/>
    <w:rsid w:val="00760015"/>
    <w:rsid w:val="00786794"/>
    <w:rsid w:val="007A53F6"/>
    <w:rsid w:val="007C315F"/>
    <w:rsid w:val="007C757F"/>
    <w:rsid w:val="007F1AD9"/>
    <w:rsid w:val="00817799"/>
    <w:rsid w:val="00853153"/>
    <w:rsid w:val="008A451B"/>
    <w:rsid w:val="008B02DC"/>
    <w:rsid w:val="00942FE3"/>
    <w:rsid w:val="0095191B"/>
    <w:rsid w:val="009578B5"/>
    <w:rsid w:val="00992DC0"/>
    <w:rsid w:val="009B4BCF"/>
    <w:rsid w:val="00A16B0E"/>
    <w:rsid w:val="00A205EA"/>
    <w:rsid w:val="00A31C0E"/>
    <w:rsid w:val="00A31F37"/>
    <w:rsid w:val="00A33BB0"/>
    <w:rsid w:val="00A72D04"/>
    <w:rsid w:val="00A8665B"/>
    <w:rsid w:val="00A87269"/>
    <w:rsid w:val="00AE0736"/>
    <w:rsid w:val="00AE3BB4"/>
    <w:rsid w:val="00AF46EB"/>
    <w:rsid w:val="00B20023"/>
    <w:rsid w:val="00B53DC9"/>
    <w:rsid w:val="00B65DEE"/>
    <w:rsid w:val="00B95A9D"/>
    <w:rsid w:val="00BB023B"/>
    <w:rsid w:val="00BB782A"/>
    <w:rsid w:val="00C238DA"/>
    <w:rsid w:val="00C2778D"/>
    <w:rsid w:val="00C71155"/>
    <w:rsid w:val="00C75B0A"/>
    <w:rsid w:val="00CA6237"/>
    <w:rsid w:val="00CB2454"/>
    <w:rsid w:val="00D43AB4"/>
    <w:rsid w:val="00D627E2"/>
    <w:rsid w:val="00D776FD"/>
    <w:rsid w:val="00D9535B"/>
    <w:rsid w:val="00D959E4"/>
    <w:rsid w:val="00DF7E28"/>
    <w:rsid w:val="00E03B72"/>
    <w:rsid w:val="00E05434"/>
    <w:rsid w:val="00E27A57"/>
    <w:rsid w:val="00E43EE7"/>
    <w:rsid w:val="00E61552"/>
    <w:rsid w:val="00E716F4"/>
    <w:rsid w:val="00E81234"/>
    <w:rsid w:val="00F061F7"/>
    <w:rsid w:val="00F504E8"/>
    <w:rsid w:val="00F60B1A"/>
    <w:rsid w:val="00F830B3"/>
    <w:rsid w:val="00FB3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7118"/>
  <w15:docId w15:val="{83D651BF-D485-48EB-8AE3-37F6031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7E2"/>
    <w:rPr>
      <w:sz w:val="20"/>
    </w:rPr>
  </w:style>
  <w:style w:type="paragraph" w:styleId="Titolo1">
    <w:name w:val="heading 1"/>
    <w:basedOn w:val="Normale"/>
    <w:next w:val="Normale"/>
    <w:link w:val="Titolo1Carattere"/>
    <w:uiPriority w:val="9"/>
    <w:qFormat/>
    <w:rsid w:val="004320E6"/>
    <w:pPr>
      <w:keepNext/>
      <w:keepLines/>
      <w:spacing w:before="480" w:after="0"/>
      <w:jc w:val="both"/>
      <w:outlineLvl w:val="0"/>
    </w:pPr>
    <w:rPr>
      <w:rFonts w:eastAsiaTheme="majorEastAsia" w:cstheme="majorBidi"/>
      <w:b/>
      <w:bCs/>
      <w:color w:val="C00000"/>
      <w:sz w:val="36"/>
      <w:szCs w:val="28"/>
    </w:rPr>
  </w:style>
  <w:style w:type="paragraph" w:styleId="Titolo2">
    <w:name w:val="heading 2"/>
    <w:basedOn w:val="Normale"/>
    <w:next w:val="Normale"/>
    <w:link w:val="Titolo2Carattere"/>
    <w:uiPriority w:val="9"/>
    <w:unhideWhenUsed/>
    <w:qFormat/>
    <w:rsid w:val="004320E6"/>
    <w:pPr>
      <w:keepNext/>
      <w:keepLines/>
      <w:spacing w:before="200" w:after="0"/>
      <w:outlineLvl w:val="1"/>
    </w:pPr>
    <w:rPr>
      <w:rFonts w:eastAsiaTheme="majorEastAsia" w:cstheme="majorBidi"/>
      <w:b/>
      <w:bCs/>
      <w:color w:val="FF0000"/>
      <w:sz w:val="26"/>
      <w:szCs w:val="26"/>
    </w:rPr>
  </w:style>
  <w:style w:type="paragraph" w:styleId="Titolo3">
    <w:name w:val="heading 3"/>
    <w:basedOn w:val="Normale"/>
    <w:next w:val="Normale"/>
    <w:link w:val="Titolo3Carattere"/>
    <w:uiPriority w:val="9"/>
    <w:unhideWhenUsed/>
    <w:qFormat/>
    <w:rsid w:val="00D627E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627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0E6"/>
    <w:rPr>
      <w:rFonts w:eastAsiaTheme="majorEastAsia" w:cstheme="majorBidi"/>
      <w:b/>
      <w:bCs/>
      <w:color w:val="C00000"/>
      <w:sz w:val="36"/>
      <w:szCs w:val="28"/>
    </w:rPr>
  </w:style>
  <w:style w:type="character" w:customStyle="1" w:styleId="Titolo2Carattere">
    <w:name w:val="Titolo 2 Carattere"/>
    <w:basedOn w:val="Carpredefinitoparagrafo"/>
    <w:link w:val="Titolo2"/>
    <w:uiPriority w:val="9"/>
    <w:rsid w:val="004320E6"/>
    <w:rPr>
      <w:rFonts w:eastAsiaTheme="majorEastAsia" w:cstheme="majorBidi"/>
      <w:b/>
      <w:bCs/>
      <w:color w:val="FF0000"/>
      <w:sz w:val="26"/>
      <w:szCs w:val="26"/>
    </w:rPr>
  </w:style>
  <w:style w:type="table" w:styleId="Grigliatabella">
    <w:name w:val="Table Grid"/>
    <w:basedOn w:val="Tabellanormale"/>
    <w:uiPriority w:val="59"/>
    <w:rsid w:val="0035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7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7C4"/>
    <w:rPr>
      <w:rFonts w:ascii="Tahoma" w:hAnsi="Tahoma" w:cs="Tahoma"/>
      <w:sz w:val="16"/>
      <w:szCs w:val="16"/>
    </w:rPr>
  </w:style>
  <w:style w:type="paragraph" w:styleId="Intestazione">
    <w:name w:val="header"/>
    <w:basedOn w:val="Normale"/>
    <w:link w:val="IntestazioneCarattere"/>
    <w:uiPriority w:val="99"/>
    <w:unhideWhenUsed/>
    <w:rsid w:val="00573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30D1"/>
    <w:rPr>
      <w:sz w:val="24"/>
    </w:rPr>
  </w:style>
  <w:style w:type="paragraph" w:styleId="Pidipagina">
    <w:name w:val="footer"/>
    <w:basedOn w:val="Normale"/>
    <w:link w:val="PidipaginaCarattere"/>
    <w:uiPriority w:val="99"/>
    <w:unhideWhenUsed/>
    <w:rsid w:val="00573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30D1"/>
    <w:rPr>
      <w:sz w:val="24"/>
    </w:rPr>
  </w:style>
  <w:style w:type="paragraph" w:styleId="Titolo">
    <w:name w:val="Title"/>
    <w:basedOn w:val="Normale"/>
    <w:next w:val="Normale"/>
    <w:link w:val="TitoloCarattere"/>
    <w:uiPriority w:val="10"/>
    <w:qFormat/>
    <w:rsid w:val="00786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86794"/>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786794"/>
    <w:pPr>
      <w:spacing w:after="0" w:line="240" w:lineRule="auto"/>
    </w:pPr>
    <w:rPr>
      <w:sz w:val="24"/>
    </w:rPr>
  </w:style>
  <w:style w:type="character" w:styleId="Enfasicorsivo">
    <w:name w:val="Emphasis"/>
    <w:basedOn w:val="Carpredefinitoparagrafo"/>
    <w:uiPriority w:val="20"/>
    <w:qFormat/>
    <w:rsid w:val="00786794"/>
    <w:rPr>
      <w:i/>
      <w:iCs/>
    </w:rPr>
  </w:style>
  <w:style w:type="character" w:styleId="Enfasigrassetto">
    <w:name w:val="Strong"/>
    <w:basedOn w:val="Carpredefinitoparagrafo"/>
    <w:uiPriority w:val="22"/>
    <w:qFormat/>
    <w:rsid w:val="00786794"/>
    <w:rPr>
      <w:b/>
      <w:bCs/>
    </w:rPr>
  </w:style>
  <w:style w:type="paragraph" w:styleId="Paragrafoelenco">
    <w:name w:val="List Paragraph"/>
    <w:basedOn w:val="Normale"/>
    <w:uiPriority w:val="34"/>
    <w:qFormat/>
    <w:rsid w:val="00786794"/>
    <w:pPr>
      <w:ind w:left="720"/>
      <w:contextualSpacing/>
    </w:pPr>
    <w:rPr>
      <w:sz w:val="22"/>
    </w:rPr>
  </w:style>
  <w:style w:type="paragraph" w:styleId="NormaleWeb">
    <w:name w:val="Normal (Web)"/>
    <w:basedOn w:val="Normale"/>
    <w:uiPriority w:val="99"/>
    <w:semiHidden/>
    <w:unhideWhenUsed/>
    <w:rsid w:val="00D627E2"/>
    <w:pPr>
      <w:spacing w:before="100" w:beforeAutospacing="1" w:after="100" w:afterAutospacing="1"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semiHidden/>
    <w:unhideWhenUsed/>
    <w:rsid w:val="00D627E2"/>
    <w:rPr>
      <w:color w:val="0000FF"/>
      <w:u w:val="single"/>
    </w:rPr>
  </w:style>
  <w:style w:type="character" w:customStyle="1" w:styleId="Titolo3Carattere">
    <w:name w:val="Titolo 3 Carattere"/>
    <w:basedOn w:val="Carpredefinitoparagrafo"/>
    <w:link w:val="Titolo3"/>
    <w:uiPriority w:val="9"/>
    <w:rsid w:val="00D627E2"/>
    <w:rPr>
      <w:rFonts w:asciiTheme="majorHAnsi" w:eastAsiaTheme="majorEastAsia" w:hAnsiTheme="majorHAnsi" w:cstheme="majorBidi"/>
      <w:b/>
      <w:bCs/>
      <w:color w:val="4F81BD" w:themeColor="accent1"/>
      <w:sz w:val="24"/>
    </w:rPr>
  </w:style>
  <w:style w:type="paragraph" w:styleId="Sottotitolo">
    <w:name w:val="Subtitle"/>
    <w:basedOn w:val="Normale"/>
    <w:next w:val="Normale"/>
    <w:link w:val="SottotitoloCarattere"/>
    <w:uiPriority w:val="11"/>
    <w:qFormat/>
    <w:rsid w:val="00D627E2"/>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D627E2"/>
    <w:rPr>
      <w:rFonts w:asciiTheme="majorHAnsi" w:eastAsiaTheme="majorEastAsia" w:hAnsiTheme="majorHAnsi" w:cstheme="majorBidi"/>
      <w:i/>
      <w:iCs/>
      <w:color w:val="4F81BD" w:themeColor="accent1"/>
      <w:spacing w:val="15"/>
      <w:sz w:val="24"/>
      <w:szCs w:val="24"/>
    </w:rPr>
  </w:style>
  <w:style w:type="character" w:customStyle="1" w:styleId="Titolo4Carattere">
    <w:name w:val="Titolo 4 Carattere"/>
    <w:basedOn w:val="Carpredefinitoparagrafo"/>
    <w:link w:val="Titolo4"/>
    <w:uiPriority w:val="9"/>
    <w:rsid w:val="00D627E2"/>
    <w:rPr>
      <w:rFonts w:asciiTheme="majorHAnsi" w:eastAsiaTheme="majorEastAsia" w:hAnsiTheme="majorHAnsi" w:cstheme="majorBidi"/>
      <w:b/>
      <w:bCs/>
      <w:i/>
      <w:iCs/>
      <w:color w:val="4F81BD" w:themeColor="accent1"/>
      <w:sz w:val="24"/>
    </w:rPr>
  </w:style>
  <w:style w:type="character" w:customStyle="1" w:styleId="lastitem">
    <w:name w:val="last_item"/>
    <w:basedOn w:val="Carpredefinitoparagrafo"/>
    <w:rsid w:val="00F8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996">
      <w:bodyDiv w:val="1"/>
      <w:marLeft w:val="0"/>
      <w:marRight w:val="0"/>
      <w:marTop w:val="0"/>
      <w:marBottom w:val="0"/>
      <w:divBdr>
        <w:top w:val="none" w:sz="0" w:space="0" w:color="auto"/>
        <w:left w:val="none" w:sz="0" w:space="0" w:color="auto"/>
        <w:bottom w:val="none" w:sz="0" w:space="0" w:color="auto"/>
        <w:right w:val="none" w:sz="0" w:space="0" w:color="auto"/>
      </w:divBdr>
    </w:div>
    <w:div w:id="297102785">
      <w:bodyDiv w:val="1"/>
      <w:marLeft w:val="0"/>
      <w:marRight w:val="0"/>
      <w:marTop w:val="0"/>
      <w:marBottom w:val="0"/>
      <w:divBdr>
        <w:top w:val="none" w:sz="0" w:space="0" w:color="auto"/>
        <w:left w:val="none" w:sz="0" w:space="0" w:color="auto"/>
        <w:bottom w:val="none" w:sz="0" w:space="0" w:color="auto"/>
        <w:right w:val="none" w:sz="0" w:space="0" w:color="auto"/>
      </w:divBdr>
    </w:div>
    <w:div w:id="348872181">
      <w:bodyDiv w:val="1"/>
      <w:marLeft w:val="0"/>
      <w:marRight w:val="0"/>
      <w:marTop w:val="0"/>
      <w:marBottom w:val="0"/>
      <w:divBdr>
        <w:top w:val="none" w:sz="0" w:space="0" w:color="auto"/>
        <w:left w:val="none" w:sz="0" w:space="0" w:color="auto"/>
        <w:bottom w:val="none" w:sz="0" w:space="0" w:color="auto"/>
        <w:right w:val="none" w:sz="0" w:space="0" w:color="auto"/>
      </w:divBdr>
    </w:div>
    <w:div w:id="389613897">
      <w:bodyDiv w:val="1"/>
      <w:marLeft w:val="0"/>
      <w:marRight w:val="0"/>
      <w:marTop w:val="0"/>
      <w:marBottom w:val="0"/>
      <w:divBdr>
        <w:top w:val="none" w:sz="0" w:space="0" w:color="auto"/>
        <w:left w:val="none" w:sz="0" w:space="0" w:color="auto"/>
        <w:bottom w:val="none" w:sz="0" w:space="0" w:color="auto"/>
        <w:right w:val="none" w:sz="0" w:space="0" w:color="auto"/>
      </w:divBdr>
    </w:div>
    <w:div w:id="527178832">
      <w:bodyDiv w:val="1"/>
      <w:marLeft w:val="0"/>
      <w:marRight w:val="0"/>
      <w:marTop w:val="0"/>
      <w:marBottom w:val="0"/>
      <w:divBdr>
        <w:top w:val="none" w:sz="0" w:space="0" w:color="auto"/>
        <w:left w:val="none" w:sz="0" w:space="0" w:color="auto"/>
        <w:bottom w:val="none" w:sz="0" w:space="0" w:color="auto"/>
        <w:right w:val="none" w:sz="0" w:space="0" w:color="auto"/>
      </w:divBdr>
    </w:div>
    <w:div w:id="562103952">
      <w:bodyDiv w:val="1"/>
      <w:marLeft w:val="0"/>
      <w:marRight w:val="0"/>
      <w:marTop w:val="0"/>
      <w:marBottom w:val="0"/>
      <w:divBdr>
        <w:top w:val="none" w:sz="0" w:space="0" w:color="auto"/>
        <w:left w:val="none" w:sz="0" w:space="0" w:color="auto"/>
        <w:bottom w:val="none" w:sz="0" w:space="0" w:color="auto"/>
        <w:right w:val="none" w:sz="0" w:space="0" w:color="auto"/>
      </w:divBdr>
    </w:div>
    <w:div w:id="666202862">
      <w:bodyDiv w:val="1"/>
      <w:marLeft w:val="0"/>
      <w:marRight w:val="0"/>
      <w:marTop w:val="0"/>
      <w:marBottom w:val="0"/>
      <w:divBdr>
        <w:top w:val="none" w:sz="0" w:space="0" w:color="auto"/>
        <w:left w:val="none" w:sz="0" w:space="0" w:color="auto"/>
        <w:bottom w:val="none" w:sz="0" w:space="0" w:color="auto"/>
        <w:right w:val="none" w:sz="0" w:space="0" w:color="auto"/>
      </w:divBdr>
      <w:divsChild>
        <w:div w:id="204686072">
          <w:marLeft w:val="0"/>
          <w:marRight w:val="0"/>
          <w:marTop w:val="0"/>
          <w:marBottom w:val="0"/>
          <w:divBdr>
            <w:top w:val="none" w:sz="0" w:space="0" w:color="auto"/>
            <w:left w:val="none" w:sz="0" w:space="0" w:color="auto"/>
            <w:bottom w:val="none" w:sz="0" w:space="0" w:color="auto"/>
            <w:right w:val="none" w:sz="0" w:space="0" w:color="auto"/>
          </w:divBdr>
          <w:divsChild>
            <w:div w:id="2125997489">
              <w:marLeft w:val="0"/>
              <w:marRight w:val="0"/>
              <w:marTop w:val="0"/>
              <w:marBottom w:val="39"/>
              <w:divBdr>
                <w:top w:val="none" w:sz="0" w:space="0" w:color="auto"/>
                <w:left w:val="none" w:sz="0" w:space="0" w:color="auto"/>
                <w:bottom w:val="none" w:sz="0" w:space="0" w:color="auto"/>
                <w:right w:val="none" w:sz="0" w:space="0" w:color="auto"/>
              </w:divBdr>
            </w:div>
          </w:divsChild>
        </w:div>
      </w:divsChild>
    </w:div>
    <w:div w:id="926429010">
      <w:bodyDiv w:val="1"/>
      <w:marLeft w:val="0"/>
      <w:marRight w:val="0"/>
      <w:marTop w:val="0"/>
      <w:marBottom w:val="0"/>
      <w:divBdr>
        <w:top w:val="none" w:sz="0" w:space="0" w:color="auto"/>
        <w:left w:val="none" w:sz="0" w:space="0" w:color="auto"/>
        <w:bottom w:val="none" w:sz="0" w:space="0" w:color="auto"/>
        <w:right w:val="none" w:sz="0" w:space="0" w:color="auto"/>
      </w:divBdr>
    </w:div>
    <w:div w:id="1020397151">
      <w:bodyDiv w:val="1"/>
      <w:marLeft w:val="0"/>
      <w:marRight w:val="0"/>
      <w:marTop w:val="0"/>
      <w:marBottom w:val="0"/>
      <w:divBdr>
        <w:top w:val="none" w:sz="0" w:space="0" w:color="auto"/>
        <w:left w:val="none" w:sz="0" w:space="0" w:color="auto"/>
        <w:bottom w:val="none" w:sz="0" w:space="0" w:color="auto"/>
        <w:right w:val="none" w:sz="0" w:space="0" w:color="auto"/>
      </w:divBdr>
    </w:div>
    <w:div w:id="1550260945">
      <w:bodyDiv w:val="1"/>
      <w:marLeft w:val="0"/>
      <w:marRight w:val="0"/>
      <w:marTop w:val="0"/>
      <w:marBottom w:val="0"/>
      <w:divBdr>
        <w:top w:val="none" w:sz="0" w:space="0" w:color="auto"/>
        <w:left w:val="none" w:sz="0" w:space="0" w:color="auto"/>
        <w:bottom w:val="none" w:sz="0" w:space="0" w:color="auto"/>
        <w:right w:val="none" w:sz="0" w:space="0" w:color="auto"/>
      </w:divBdr>
    </w:div>
    <w:div w:id="1568488646">
      <w:bodyDiv w:val="1"/>
      <w:marLeft w:val="0"/>
      <w:marRight w:val="0"/>
      <w:marTop w:val="0"/>
      <w:marBottom w:val="0"/>
      <w:divBdr>
        <w:top w:val="none" w:sz="0" w:space="0" w:color="auto"/>
        <w:left w:val="none" w:sz="0" w:space="0" w:color="auto"/>
        <w:bottom w:val="none" w:sz="0" w:space="0" w:color="auto"/>
        <w:right w:val="none" w:sz="0" w:space="0" w:color="auto"/>
      </w:divBdr>
    </w:div>
    <w:div w:id="1627546671">
      <w:bodyDiv w:val="1"/>
      <w:marLeft w:val="0"/>
      <w:marRight w:val="0"/>
      <w:marTop w:val="0"/>
      <w:marBottom w:val="0"/>
      <w:divBdr>
        <w:top w:val="none" w:sz="0" w:space="0" w:color="auto"/>
        <w:left w:val="none" w:sz="0" w:space="0" w:color="auto"/>
        <w:bottom w:val="none" w:sz="0" w:space="0" w:color="auto"/>
        <w:right w:val="none" w:sz="0" w:space="0" w:color="auto"/>
      </w:divBdr>
    </w:div>
    <w:div w:id="1735077521">
      <w:bodyDiv w:val="1"/>
      <w:marLeft w:val="0"/>
      <w:marRight w:val="0"/>
      <w:marTop w:val="0"/>
      <w:marBottom w:val="0"/>
      <w:divBdr>
        <w:top w:val="none" w:sz="0" w:space="0" w:color="auto"/>
        <w:left w:val="none" w:sz="0" w:space="0" w:color="auto"/>
        <w:bottom w:val="none" w:sz="0" w:space="0" w:color="auto"/>
        <w:right w:val="none" w:sz="0" w:space="0" w:color="auto"/>
      </w:divBdr>
    </w:div>
    <w:div w:id="18338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udioessepi.it/magazine/sicurezza/manutenzione-estintori-norme-da-rispett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fos.it/sicurezza/studi-professional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fos.it/sicurezza/uffic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89B20-606C-4335-A03F-70878A64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Corrado Piccione</cp:lastModifiedBy>
  <cp:revision>51</cp:revision>
  <cp:lastPrinted>2023-09-04T10:00:00Z</cp:lastPrinted>
  <dcterms:created xsi:type="dcterms:W3CDTF">2020-08-17T14:06:00Z</dcterms:created>
  <dcterms:modified xsi:type="dcterms:W3CDTF">2023-09-04T10:04:00Z</dcterms:modified>
</cp:coreProperties>
</file>